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D5" w:rsidRPr="006E611C" w:rsidRDefault="00643BD5" w:rsidP="00B06737">
      <w:pPr>
        <w:jc w:val="both"/>
        <w:rPr>
          <w:b/>
          <w:bCs/>
          <w:sz w:val="22"/>
          <w:szCs w:val="22"/>
        </w:rPr>
      </w:pPr>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2012.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 xml:space="preserve">The accounting principles and bases used are consistent with those previously adopted in the preparation of the financial statements of CSC Steel Holdings </w:t>
      </w:r>
      <w:proofErr w:type="spellStart"/>
      <w:r w:rsidRPr="00667E29">
        <w:rPr>
          <w:sz w:val="22"/>
          <w:szCs w:val="22"/>
        </w:rPr>
        <w:t>Berhad</w:t>
      </w:r>
      <w:proofErr w:type="spellEnd"/>
      <w:r w:rsidRPr="00667E29">
        <w:rPr>
          <w:sz w:val="22"/>
          <w:szCs w:val="22"/>
        </w:rPr>
        <w:t xml:space="preserve">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101 Presentation of Financial Statements (Amendments relating to Presentation of Items of Other Comprehensive Income)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Mandatory Effective Date of MFRS 9 and Transition Disclosures (IFRS 9 issued by IASB in November 2009 and October 2010 respectively)]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Disclosures - Offsetting Financial Assets and Liabilities)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 Consolidated Financial Statements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MFRS 10 Consolidated Financial Statements (Amendments relating to Transition Guidance)</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13 Fair Value Measurement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MFRSs contained in the document entitled Annual Improvements 2009-2011 cycle</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October 2009)</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November 2010)</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132 Financial Instruments: Presentation (Amendments relating to Offsetting Financial Assets and Financial Liabilities)</w:t>
      </w:r>
    </w:p>
    <w:p w:rsidR="00667E29" w:rsidRPr="00667E29" w:rsidRDefault="00667E29" w:rsidP="00667E29">
      <w:pPr>
        <w:ind w:left="1080"/>
        <w:jc w:val="both"/>
        <w:rPr>
          <w:sz w:val="22"/>
          <w:szCs w:val="22"/>
        </w:rPr>
      </w:pPr>
    </w:p>
    <w:p w:rsidR="00667E29" w:rsidRP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643BD5" w:rsidRPr="006E611C" w:rsidRDefault="00643BD5" w:rsidP="008A18FC">
      <w:pPr>
        <w:numPr>
          <w:ilvl w:val="0"/>
          <w:numId w:val="1"/>
        </w:numPr>
        <w:jc w:val="both"/>
        <w:rPr>
          <w:b/>
          <w:bCs/>
          <w:sz w:val="22"/>
          <w:szCs w:val="22"/>
        </w:rPr>
      </w:pPr>
      <w:r w:rsidRPr="006E611C">
        <w:rPr>
          <w:b/>
          <w:bCs/>
          <w:sz w:val="22"/>
          <w:szCs w:val="22"/>
        </w:rPr>
        <w:lastRenderedPageBreak/>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6743DF">
        <w:rPr>
          <w:sz w:val="22"/>
          <w:szCs w:val="22"/>
        </w:rPr>
        <w:t>2</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037950" w:rsidRDefault="009C5C23" w:rsidP="002C24D4">
      <w:pPr>
        <w:pStyle w:val="BodyTextIndent"/>
        <w:ind w:left="1080"/>
        <w:jc w:val="both"/>
        <w:rPr>
          <w:sz w:val="22"/>
          <w:szCs w:val="22"/>
        </w:rPr>
      </w:pPr>
      <w:r>
        <w:rPr>
          <w:sz w:val="22"/>
          <w:szCs w:val="22"/>
        </w:rPr>
        <w:t>There was no dividend paid during the quarter under review.</w:t>
      </w:r>
    </w:p>
    <w:p w:rsidR="00037950" w:rsidRDefault="00037950" w:rsidP="008A18FC">
      <w:pPr>
        <w:tabs>
          <w:tab w:val="left" w:pos="1080"/>
        </w:tabs>
        <w:ind w:left="360"/>
        <w:jc w:val="both"/>
        <w:rPr>
          <w:b/>
          <w:bCs/>
          <w:sz w:val="22"/>
          <w:szCs w:val="22"/>
        </w:rPr>
      </w:pPr>
    </w:p>
    <w:p w:rsidR="00037950" w:rsidRDefault="00037950" w:rsidP="008A18FC">
      <w:pPr>
        <w:tabs>
          <w:tab w:val="left" w:pos="1080"/>
        </w:tabs>
        <w:ind w:left="360"/>
        <w:jc w:val="both"/>
        <w:rPr>
          <w:b/>
          <w:bCs/>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707253"/>
    <w:bookmarkEnd w:id="0"/>
    <w:bookmarkStart w:id="1" w:name="_MON_1396439693"/>
    <w:bookmarkEnd w:id="1"/>
    <w:p w:rsidR="00643BD5" w:rsidRDefault="009C5C23" w:rsidP="008A18FC">
      <w:pPr>
        <w:tabs>
          <w:tab w:val="left" w:pos="1080"/>
        </w:tabs>
        <w:ind w:left="1080"/>
        <w:jc w:val="both"/>
        <w:rPr>
          <w:b/>
          <w:bCs/>
          <w:sz w:val="22"/>
          <w:szCs w:val="22"/>
        </w:rPr>
      </w:pPr>
      <w:r w:rsidRPr="006E611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158.25pt" o:ole="" fillcolor="window">
            <v:imagedata r:id="rId8" o:title=""/>
          </v:shape>
          <o:OLEObject Type="Embed" ProgID="Excel.Sheet.8" ShapeID="_x0000_i1025" DrawAspect="Content" ObjectID="_1454481475" r:id="rId9"/>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w:t>
      </w:r>
      <w:proofErr w:type="spellStart"/>
      <w:r w:rsidRPr="006E611C">
        <w:rPr>
          <w:bCs/>
          <w:sz w:val="22"/>
          <w:szCs w:val="22"/>
        </w:rPr>
        <w:t>galvani</w:t>
      </w:r>
      <w:r w:rsidR="00ED0FDF">
        <w:rPr>
          <w:bCs/>
          <w:sz w:val="22"/>
          <w:szCs w:val="22"/>
        </w:rPr>
        <w:t>s</w:t>
      </w:r>
      <w:r w:rsidRPr="006E611C">
        <w:rPr>
          <w:bCs/>
          <w:sz w:val="22"/>
          <w:szCs w:val="22"/>
        </w:rPr>
        <w:t>ed</w:t>
      </w:r>
      <w:proofErr w:type="spellEnd"/>
      <w:r w:rsidRPr="006E611C">
        <w:rPr>
          <w:bCs/>
          <w:sz w:val="22"/>
          <w:szCs w:val="22"/>
        </w:rPr>
        <w:t xml:space="preserve"> &amp; pre-painted </w:t>
      </w:r>
      <w:proofErr w:type="spellStart"/>
      <w:r w:rsidRPr="006E611C">
        <w:rPr>
          <w:bCs/>
          <w:sz w:val="22"/>
          <w:szCs w:val="22"/>
        </w:rPr>
        <w:t>galvanised</w:t>
      </w:r>
      <w:proofErr w:type="spellEnd"/>
      <w:r w:rsidRPr="006E611C">
        <w:rPr>
          <w:bCs/>
          <w:sz w:val="22"/>
          <w:szCs w:val="22"/>
        </w:rPr>
        <w:t xml:space="preserve">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lastRenderedPageBreak/>
        <w:t>As at the end of the reporting quarter the Group’s bio-coal plant has yet to commence commercial production.</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2F5F61" w:rsidP="002F5F61">
      <w:pPr>
        <w:ind w:left="1080"/>
        <w:jc w:val="both"/>
        <w:rPr>
          <w:sz w:val="22"/>
          <w:szCs w:val="22"/>
        </w:rPr>
      </w:pPr>
      <w:r>
        <w:rPr>
          <w:sz w:val="22"/>
          <w:szCs w:val="22"/>
        </w:rPr>
        <w:t>T</w:t>
      </w:r>
      <w:r w:rsidR="0036383F" w:rsidRPr="0041569E">
        <w:rPr>
          <w:sz w:val="22"/>
          <w:szCs w:val="22"/>
        </w:rPr>
        <w:t xml:space="preserve">here </w:t>
      </w:r>
      <w:r>
        <w:rPr>
          <w:sz w:val="22"/>
          <w:szCs w:val="22"/>
        </w:rPr>
        <w:t>is</w:t>
      </w:r>
      <w:r w:rsidR="0036383F" w:rsidRPr="0041569E">
        <w:rPr>
          <w:sz w:val="22"/>
          <w:szCs w:val="22"/>
        </w:rPr>
        <w:t xml:space="preserve"> no </w:t>
      </w:r>
      <w:r>
        <w:rPr>
          <w:sz w:val="22"/>
          <w:szCs w:val="22"/>
        </w:rPr>
        <w:t>change</w:t>
      </w:r>
      <w:r w:rsidR="0036383F" w:rsidRPr="0041569E">
        <w:rPr>
          <w:sz w:val="22"/>
          <w:szCs w:val="22"/>
        </w:rPr>
        <w:t xml:space="preserve"> </w:t>
      </w:r>
      <w:r w:rsidR="0036383F" w:rsidRPr="006E611C">
        <w:rPr>
          <w:sz w:val="22"/>
          <w:szCs w:val="22"/>
        </w:rPr>
        <w:t>in the composition of the Group during the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firstRow="1" w:lastRow="1" w:firstColumn="1" w:lastColumn="1" w:noHBand="0" w:noVBand="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065F3A">
            <w:pPr>
              <w:widowControl w:val="0"/>
              <w:tabs>
                <w:tab w:val="left" w:pos="1080"/>
              </w:tabs>
              <w:jc w:val="center"/>
              <w:rPr>
                <w:rFonts w:eastAsia="Times New Roman"/>
                <w:sz w:val="22"/>
                <w:szCs w:val="22"/>
              </w:rPr>
            </w:pPr>
            <w:r w:rsidRPr="006E611C">
              <w:rPr>
                <w:rFonts w:eastAsia="Times New Roman"/>
                <w:iCs/>
                <w:sz w:val="22"/>
                <w:szCs w:val="22"/>
              </w:rPr>
              <w:t xml:space="preserve">    </w:t>
            </w:r>
            <w:r w:rsidR="00065F3A">
              <w:rPr>
                <w:rFonts w:eastAsia="Times New Roman"/>
                <w:iCs/>
                <w:sz w:val="22"/>
                <w:szCs w:val="22"/>
              </w:rPr>
              <w:t xml:space="preserve"> 15,781</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065F3A">
            <w:pPr>
              <w:widowControl w:val="0"/>
              <w:tabs>
                <w:tab w:val="left" w:pos="1080"/>
              </w:tabs>
              <w:jc w:val="center"/>
              <w:rPr>
                <w:rFonts w:eastAsia="Times New Roman"/>
                <w:sz w:val="22"/>
                <w:szCs w:val="22"/>
              </w:rPr>
            </w:pPr>
            <w:r w:rsidRPr="006E611C">
              <w:rPr>
                <w:iCs/>
                <w:sz w:val="22"/>
                <w:szCs w:val="22"/>
              </w:rPr>
              <w:t xml:space="preserve">    </w:t>
            </w:r>
            <w:r w:rsidR="00065F3A">
              <w:rPr>
                <w:iCs/>
                <w:sz w:val="22"/>
                <w:szCs w:val="22"/>
              </w:rPr>
              <w:t>66</w:t>
            </w:r>
            <w:r w:rsidR="0036383F" w:rsidRPr="006E611C">
              <w:rPr>
                <w:iCs/>
                <w:sz w:val="22"/>
                <w:szCs w:val="22"/>
              </w:rPr>
              <w:t>,</w:t>
            </w:r>
            <w:r w:rsidR="00065F3A">
              <w:rPr>
                <w:iCs/>
                <w:sz w:val="22"/>
                <w:szCs w:val="22"/>
              </w:rPr>
              <w:t>886</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065F3A">
            <w:pPr>
              <w:widowControl w:val="0"/>
              <w:tabs>
                <w:tab w:val="left" w:pos="1080"/>
              </w:tabs>
              <w:rPr>
                <w:rFonts w:eastAsia="Times New Roman"/>
                <w:sz w:val="22"/>
                <w:szCs w:val="22"/>
              </w:rPr>
            </w:pPr>
            <w:r w:rsidRPr="006E611C">
              <w:rPr>
                <w:rFonts w:eastAsia="Times New Roman"/>
                <w:sz w:val="22"/>
                <w:szCs w:val="22"/>
              </w:rPr>
              <w:t xml:space="preserve">      </w:t>
            </w:r>
            <w:r w:rsidR="00065F3A">
              <w:rPr>
                <w:rFonts w:eastAsia="Times New Roman"/>
                <w:sz w:val="22"/>
                <w:szCs w:val="22"/>
              </w:rPr>
              <w:t>8</w:t>
            </w:r>
            <w:r w:rsidR="00FD2DBE">
              <w:rPr>
                <w:rFonts w:eastAsia="Times New Roman"/>
                <w:sz w:val="22"/>
                <w:szCs w:val="22"/>
              </w:rPr>
              <w:t>2</w:t>
            </w:r>
            <w:r w:rsidR="0036383F" w:rsidRPr="006E611C">
              <w:rPr>
                <w:rFonts w:eastAsia="Times New Roman"/>
                <w:sz w:val="22"/>
                <w:szCs w:val="22"/>
              </w:rPr>
              <w:t>,</w:t>
            </w:r>
            <w:r w:rsidR="00FD2DBE">
              <w:rPr>
                <w:rFonts w:eastAsia="Times New Roman"/>
                <w:sz w:val="22"/>
                <w:szCs w:val="22"/>
              </w:rPr>
              <w:t>66</w:t>
            </w:r>
            <w:r w:rsidR="009C5C23">
              <w:rPr>
                <w:rFonts w:eastAsia="Times New Roman"/>
                <w:sz w:val="22"/>
                <w:szCs w:val="22"/>
              </w:rPr>
              <w:t>7</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FD2DBE" w:rsidRDefault="00FD2DBE" w:rsidP="0008319C">
      <w:pPr>
        <w:ind w:left="1080"/>
        <w:jc w:val="both"/>
        <w:rPr>
          <w:sz w:val="22"/>
          <w:szCs w:val="22"/>
        </w:rPr>
      </w:pPr>
      <w:r w:rsidRPr="00AD76E4">
        <w:rPr>
          <w:sz w:val="22"/>
          <w:szCs w:val="22"/>
        </w:rPr>
        <w:t xml:space="preserve">The Group achieved revenue and profit before tax for the current quarter of RM283.1 million and RM1.3 million respectively. This represents an increase of RM13.5 million or 5.0% higher in revenue than that of its corresponding quarter. </w:t>
      </w:r>
      <w:proofErr w:type="gramStart"/>
      <w:r w:rsidRPr="00AD76E4">
        <w:rPr>
          <w:sz w:val="22"/>
          <w:szCs w:val="22"/>
        </w:rPr>
        <w:t xml:space="preserve">Despite </w:t>
      </w:r>
      <w:r>
        <w:rPr>
          <w:sz w:val="22"/>
          <w:szCs w:val="22"/>
        </w:rPr>
        <w:t xml:space="preserve">the </w:t>
      </w:r>
      <w:r w:rsidRPr="00AD76E4">
        <w:rPr>
          <w:sz w:val="22"/>
          <w:szCs w:val="22"/>
        </w:rPr>
        <w:t>increase in revenue, profit before tax decrease</w:t>
      </w:r>
      <w:r w:rsidR="0008319C">
        <w:rPr>
          <w:sz w:val="22"/>
          <w:szCs w:val="22"/>
        </w:rPr>
        <w:t xml:space="preserve">d substantially </w:t>
      </w:r>
      <w:r w:rsidRPr="00AD76E4">
        <w:rPr>
          <w:sz w:val="22"/>
          <w:szCs w:val="22"/>
        </w:rPr>
        <w:t>by RM6.1 million from RM7.4 million in the corresponding quarter.</w:t>
      </w:r>
      <w:proofErr w:type="gramEnd"/>
      <w:r w:rsidR="0008319C">
        <w:rPr>
          <w:sz w:val="22"/>
          <w:szCs w:val="22"/>
        </w:rPr>
        <w:t xml:space="preserve"> </w:t>
      </w:r>
      <w:r w:rsidRPr="00AD76E4">
        <w:rPr>
          <w:sz w:val="22"/>
          <w:szCs w:val="22"/>
        </w:rPr>
        <w:t xml:space="preserve">The increase in revenue is </w:t>
      </w:r>
      <w:r>
        <w:rPr>
          <w:sz w:val="22"/>
          <w:szCs w:val="22"/>
        </w:rPr>
        <w:t xml:space="preserve">primarily </w:t>
      </w:r>
      <w:r w:rsidRPr="00AD76E4">
        <w:rPr>
          <w:sz w:val="22"/>
          <w:szCs w:val="22"/>
        </w:rPr>
        <w:t>due to the increase in sales volume of some of our steel products. However, t</w:t>
      </w:r>
      <w:r w:rsidR="0008319C">
        <w:rPr>
          <w:sz w:val="22"/>
          <w:szCs w:val="22"/>
        </w:rPr>
        <w:t>he</w:t>
      </w:r>
      <w:r>
        <w:rPr>
          <w:sz w:val="22"/>
          <w:szCs w:val="22"/>
        </w:rPr>
        <w:t xml:space="preserve"> </w:t>
      </w:r>
      <w:r w:rsidRPr="00AD76E4">
        <w:rPr>
          <w:sz w:val="22"/>
          <w:szCs w:val="22"/>
        </w:rPr>
        <w:t>lower profit before tax is due to</w:t>
      </w:r>
      <w:r w:rsidR="0008319C">
        <w:rPr>
          <w:sz w:val="22"/>
          <w:szCs w:val="22"/>
        </w:rPr>
        <w:t xml:space="preserve"> their</w:t>
      </w:r>
      <w:r w:rsidRPr="00AD76E4">
        <w:rPr>
          <w:sz w:val="22"/>
          <w:szCs w:val="22"/>
        </w:rPr>
        <w:t xml:space="preserve"> </w:t>
      </w:r>
      <w:r w:rsidR="0008319C">
        <w:rPr>
          <w:sz w:val="22"/>
          <w:szCs w:val="22"/>
        </w:rPr>
        <w:t xml:space="preserve">significantly </w:t>
      </w:r>
      <w:r w:rsidRPr="00AD76E4">
        <w:rPr>
          <w:sz w:val="22"/>
          <w:szCs w:val="22"/>
        </w:rPr>
        <w:t>lower selling price</w:t>
      </w:r>
      <w:r w:rsidR="0008319C">
        <w:rPr>
          <w:sz w:val="22"/>
          <w:szCs w:val="22"/>
        </w:rPr>
        <w:t>s</w:t>
      </w:r>
      <w:r w:rsidRPr="00AD76E4">
        <w:rPr>
          <w:sz w:val="22"/>
          <w:szCs w:val="22"/>
        </w:rPr>
        <w:t>.</w:t>
      </w:r>
    </w:p>
    <w:p w:rsidR="0008319C" w:rsidRDefault="0008319C" w:rsidP="00FD2DBE">
      <w:pPr>
        <w:adjustRightInd w:val="0"/>
        <w:ind w:left="1080"/>
        <w:rPr>
          <w:sz w:val="22"/>
          <w:szCs w:val="22"/>
        </w:rPr>
      </w:pPr>
    </w:p>
    <w:p w:rsidR="00420828" w:rsidRPr="00AD76E4" w:rsidRDefault="00420828" w:rsidP="00FD2DBE">
      <w:pPr>
        <w:adjustRightInd w:val="0"/>
        <w:ind w:left="1080"/>
        <w:rPr>
          <w:sz w:val="22"/>
          <w:szCs w:val="22"/>
        </w:rPr>
      </w:pPr>
      <w:r>
        <w:rPr>
          <w:sz w:val="22"/>
          <w:szCs w:val="22"/>
        </w:rPr>
        <w:t xml:space="preserve">With regards to our pilot bio-coal manufacturing plant, </w:t>
      </w:r>
      <w:r w:rsidR="00311B74">
        <w:rPr>
          <w:sz w:val="22"/>
          <w:szCs w:val="22"/>
        </w:rPr>
        <w:t>the plant has yet to commence commercial production as o</w:t>
      </w:r>
      <w:r>
        <w:rPr>
          <w:sz w:val="22"/>
          <w:szCs w:val="22"/>
        </w:rPr>
        <w:t>ur parent company’s R&amp;D</w:t>
      </w:r>
      <w:r w:rsidR="00311B74">
        <w:rPr>
          <w:sz w:val="22"/>
          <w:szCs w:val="22"/>
        </w:rPr>
        <w:t xml:space="preserve"> team involved in the development of this plant </w:t>
      </w:r>
      <w:r w:rsidR="00065F3A">
        <w:rPr>
          <w:sz w:val="22"/>
          <w:szCs w:val="22"/>
        </w:rPr>
        <w:t>is still grappling</w:t>
      </w:r>
      <w:r w:rsidR="00311B74">
        <w:rPr>
          <w:sz w:val="22"/>
          <w:szCs w:val="22"/>
        </w:rPr>
        <w:t xml:space="preserve"> with some serious technical issues to be resolved. </w:t>
      </w: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FD2DBE" w:rsidRPr="00AD76E4" w:rsidRDefault="00643BD5" w:rsidP="00FD2DBE">
      <w:pPr>
        <w:tabs>
          <w:tab w:val="left" w:pos="1080"/>
        </w:tabs>
        <w:ind w:left="1080" w:hanging="1080"/>
        <w:jc w:val="both"/>
        <w:rPr>
          <w:sz w:val="22"/>
          <w:szCs w:val="22"/>
        </w:rPr>
      </w:pPr>
      <w:r w:rsidRPr="006E611C">
        <w:rPr>
          <w:sz w:val="22"/>
          <w:szCs w:val="22"/>
        </w:rPr>
        <w:tab/>
      </w:r>
      <w:r w:rsidR="00FD2DBE" w:rsidRPr="00AD76E4">
        <w:rPr>
          <w:sz w:val="22"/>
          <w:szCs w:val="22"/>
        </w:rPr>
        <w:t xml:space="preserve">The Group’s revenue has increased by 10.0%, from RM257.5 million in the preceding quarter to RM283.1 million this quarter. The increase in revenue is primarily due to the increase in sales volume of our steel products </w:t>
      </w:r>
      <w:r w:rsidR="00065F3A">
        <w:rPr>
          <w:sz w:val="22"/>
          <w:szCs w:val="22"/>
        </w:rPr>
        <w:t xml:space="preserve">despite marginally lower </w:t>
      </w:r>
      <w:r w:rsidR="00FD2DBE" w:rsidRPr="00AD76E4">
        <w:rPr>
          <w:sz w:val="22"/>
          <w:szCs w:val="22"/>
        </w:rPr>
        <w:t xml:space="preserve">selling prices. </w:t>
      </w:r>
      <w:r w:rsidR="00065F3A">
        <w:rPr>
          <w:sz w:val="22"/>
          <w:szCs w:val="22"/>
        </w:rPr>
        <w:t>In</w:t>
      </w:r>
      <w:r w:rsidR="009A6E2B">
        <w:rPr>
          <w:sz w:val="22"/>
          <w:szCs w:val="22"/>
        </w:rPr>
        <w:t xml:space="preserve"> </w:t>
      </w:r>
      <w:r w:rsidR="00FD2DBE" w:rsidRPr="00AD76E4">
        <w:rPr>
          <w:sz w:val="22"/>
          <w:szCs w:val="22"/>
        </w:rPr>
        <w:t xml:space="preserve">spite </w:t>
      </w:r>
      <w:r w:rsidR="00065F3A">
        <w:rPr>
          <w:sz w:val="22"/>
          <w:szCs w:val="22"/>
        </w:rPr>
        <w:t xml:space="preserve">of </w:t>
      </w:r>
      <w:r w:rsidR="00FD2DBE" w:rsidRPr="00AD76E4">
        <w:rPr>
          <w:sz w:val="22"/>
          <w:szCs w:val="22"/>
        </w:rPr>
        <w:t xml:space="preserve">higher revenue, the Group’s profit before tax decreased by RM2.5 million to register RM1.3 million this quarter as a result of </w:t>
      </w:r>
      <w:r w:rsidR="009A6E2B">
        <w:rPr>
          <w:sz w:val="22"/>
          <w:szCs w:val="22"/>
        </w:rPr>
        <w:t>lower selling prices</w:t>
      </w:r>
      <w:r w:rsidR="00FD2DBE" w:rsidRPr="00AD76E4">
        <w:rPr>
          <w:sz w:val="22"/>
          <w:szCs w:val="22"/>
        </w:rPr>
        <w:t xml:space="preserve">. </w:t>
      </w:r>
    </w:p>
    <w:p w:rsidR="009F4B15" w:rsidRDefault="009F4B15" w:rsidP="00597F44">
      <w:pPr>
        <w:tabs>
          <w:tab w:val="left" w:pos="1080"/>
        </w:tabs>
        <w:ind w:left="1080" w:hanging="1080"/>
        <w:jc w:val="both"/>
        <w:rPr>
          <w:sz w:val="22"/>
          <w:szCs w:val="22"/>
        </w:rPr>
      </w:pP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5E40FA" w:rsidRDefault="00624F77" w:rsidP="009A6E2B">
      <w:pPr>
        <w:tabs>
          <w:tab w:val="left" w:pos="1080"/>
        </w:tabs>
        <w:ind w:left="1080" w:hanging="720"/>
        <w:jc w:val="both"/>
        <w:rPr>
          <w:rFonts w:eastAsiaTheme="minorEastAsia"/>
          <w:sz w:val="22"/>
          <w:szCs w:val="22"/>
          <w:lang w:eastAsia="zh-TW"/>
        </w:rPr>
      </w:pPr>
      <w:r>
        <w:rPr>
          <w:sz w:val="22"/>
          <w:szCs w:val="22"/>
        </w:rPr>
        <w:tab/>
      </w:r>
    </w:p>
    <w:p w:rsidR="00FD2DBE" w:rsidRPr="00AD76E4" w:rsidRDefault="00FD2DBE" w:rsidP="00FD2DBE">
      <w:pPr>
        <w:ind w:left="1080"/>
        <w:jc w:val="both"/>
        <w:rPr>
          <w:rFonts w:eastAsiaTheme="minorEastAsia"/>
          <w:lang w:eastAsia="zh-TW"/>
        </w:rPr>
      </w:pPr>
      <w:r w:rsidRPr="00AD76E4">
        <w:rPr>
          <w:lang w:eastAsia="zh-TW"/>
        </w:rPr>
        <w:t>In January</w:t>
      </w:r>
      <w:r w:rsidRPr="00AD76E4">
        <w:rPr>
          <w:rFonts w:hint="eastAsia"/>
          <w:lang w:eastAsia="zh-TW"/>
        </w:rPr>
        <w:t xml:space="preserve"> 2014</w:t>
      </w:r>
      <w:r w:rsidRPr="00AD76E4">
        <w:rPr>
          <w:lang w:eastAsia="zh-TW"/>
        </w:rPr>
        <w:t xml:space="preserve">, the </w:t>
      </w:r>
      <w:r w:rsidRPr="00AD76E4">
        <w:t xml:space="preserve">IMF said the global GDP growth will </w:t>
      </w:r>
      <w:r w:rsidR="009A6E2B">
        <w:t xml:space="preserve">be </w:t>
      </w:r>
      <w:r w:rsidRPr="00AD76E4">
        <w:t xml:space="preserve">higher than </w:t>
      </w:r>
      <w:r w:rsidR="009A6E2B">
        <w:t xml:space="preserve">the estimated </w:t>
      </w:r>
      <w:r w:rsidRPr="00AD76E4">
        <w:t xml:space="preserve">2.9% </w:t>
      </w:r>
      <w:r w:rsidR="009A6E2B">
        <w:t>for 2</w:t>
      </w:r>
      <w:r w:rsidRPr="00AD76E4">
        <w:rPr>
          <w:lang w:eastAsia="zh-TW"/>
        </w:rPr>
        <w:t xml:space="preserve">014, and </w:t>
      </w:r>
      <w:r w:rsidRPr="00AD76E4">
        <w:rPr>
          <w:rFonts w:eastAsiaTheme="minorEastAsia" w:hint="eastAsia"/>
          <w:lang w:eastAsia="zh-TW"/>
        </w:rPr>
        <w:t>t</w:t>
      </w:r>
      <w:r w:rsidRPr="00AD76E4">
        <w:t xml:space="preserve">he World Bank </w:t>
      </w:r>
      <w:r w:rsidRPr="00AD76E4">
        <w:rPr>
          <w:rFonts w:eastAsiaTheme="minorEastAsia" w:hint="eastAsia"/>
          <w:lang w:eastAsia="zh-TW"/>
        </w:rPr>
        <w:t xml:space="preserve">also </w:t>
      </w:r>
      <w:r w:rsidRPr="00AD76E4">
        <w:t>raised its global growth forecasts</w:t>
      </w:r>
      <w:r w:rsidRPr="00AD76E4">
        <w:rPr>
          <w:rFonts w:eastAsiaTheme="minorEastAsia" w:hint="eastAsia"/>
          <w:lang w:eastAsia="zh-TW"/>
        </w:rPr>
        <w:t xml:space="preserve"> to 3.2%</w:t>
      </w:r>
      <w:r w:rsidRPr="00AD76E4">
        <w:t xml:space="preserve"> this year, compared with a June projection of 3</w:t>
      </w:r>
      <w:r w:rsidRPr="00AD76E4">
        <w:rPr>
          <w:rFonts w:eastAsiaTheme="minorEastAsia" w:hint="eastAsia"/>
          <w:lang w:eastAsia="zh-TW"/>
        </w:rPr>
        <w:t>.0%</w:t>
      </w:r>
      <w:r w:rsidRPr="00AD76E4">
        <w:t xml:space="preserve"> and up from 2.4</w:t>
      </w:r>
      <w:r w:rsidRPr="00AD76E4">
        <w:rPr>
          <w:rFonts w:eastAsiaTheme="minorEastAsia" w:hint="eastAsia"/>
          <w:lang w:eastAsia="zh-TW"/>
        </w:rPr>
        <w:t>%</w:t>
      </w:r>
      <w:r w:rsidRPr="00AD76E4">
        <w:t xml:space="preserve"> in 2013. The bank sees a global expansion of 3.4</w:t>
      </w:r>
      <w:r w:rsidRPr="00AD76E4">
        <w:rPr>
          <w:rFonts w:eastAsiaTheme="minorEastAsia" w:hint="eastAsia"/>
          <w:lang w:eastAsia="zh-TW"/>
        </w:rPr>
        <w:t>%</w:t>
      </w:r>
      <w:r w:rsidRPr="00AD76E4">
        <w:t xml:space="preserve"> in 2015, compared with 3.3</w:t>
      </w:r>
      <w:r w:rsidRPr="00AD76E4">
        <w:rPr>
          <w:rFonts w:eastAsiaTheme="minorEastAsia" w:hint="eastAsia"/>
          <w:lang w:eastAsia="zh-TW"/>
        </w:rPr>
        <w:t xml:space="preserve">% </w:t>
      </w:r>
      <w:r w:rsidRPr="00AD76E4">
        <w:t xml:space="preserve">predicted in June. </w:t>
      </w:r>
      <w:r w:rsidRPr="00AD76E4">
        <w:rPr>
          <w:rFonts w:eastAsiaTheme="minorEastAsia" w:hint="eastAsia"/>
          <w:lang w:eastAsia="zh-TW"/>
        </w:rPr>
        <w:t>T</w:t>
      </w:r>
      <w:r w:rsidRPr="00AD76E4">
        <w:t xml:space="preserve">he easing of austerity policies in EU supports the recovery, </w:t>
      </w:r>
      <w:r w:rsidRPr="00AD76E4">
        <w:rPr>
          <w:rFonts w:eastAsiaTheme="minorEastAsia" w:hint="eastAsia"/>
          <w:lang w:eastAsia="zh-TW"/>
        </w:rPr>
        <w:t xml:space="preserve">and </w:t>
      </w:r>
      <w:r w:rsidRPr="00AD76E4">
        <w:t>boost</w:t>
      </w:r>
      <w:r w:rsidRPr="00AD76E4">
        <w:rPr>
          <w:rFonts w:eastAsiaTheme="minorEastAsia" w:hint="eastAsia"/>
          <w:lang w:eastAsia="zh-TW"/>
        </w:rPr>
        <w:t>s</w:t>
      </w:r>
      <w:r w:rsidRPr="00AD76E4">
        <w:t xml:space="preserve"> developing markets’ exports</w:t>
      </w:r>
      <w:r w:rsidRPr="00AD76E4">
        <w:rPr>
          <w:rFonts w:eastAsiaTheme="minorEastAsia" w:hint="eastAsia"/>
          <w:lang w:eastAsia="zh-TW"/>
        </w:rPr>
        <w:t xml:space="preserve"> </w:t>
      </w:r>
      <w:r w:rsidRPr="00AD76E4">
        <w:t>this year</w:t>
      </w:r>
      <w:r w:rsidRPr="00AD76E4">
        <w:rPr>
          <w:rFonts w:eastAsiaTheme="minorEastAsia" w:hint="eastAsia"/>
          <w:lang w:eastAsia="zh-TW"/>
        </w:rPr>
        <w:t xml:space="preserve">. </w:t>
      </w:r>
    </w:p>
    <w:p w:rsidR="00FD2DBE" w:rsidRPr="00AD76E4" w:rsidRDefault="00FD2DBE" w:rsidP="00FD2DBE">
      <w:pPr>
        <w:ind w:left="1080"/>
        <w:jc w:val="both"/>
        <w:rPr>
          <w:rFonts w:eastAsiaTheme="minorEastAsia"/>
          <w:lang w:eastAsia="zh-TW"/>
        </w:rPr>
      </w:pPr>
    </w:p>
    <w:p w:rsidR="00FD2DBE" w:rsidRPr="00AD76E4" w:rsidRDefault="00FD2DBE" w:rsidP="00FD2DBE">
      <w:pPr>
        <w:ind w:left="1080"/>
        <w:jc w:val="both"/>
        <w:rPr>
          <w:rFonts w:eastAsiaTheme="minorEastAsia"/>
          <w:lang w:eastAsia="zh-TW"/>
        </w:rPr>
      </w:pPr>
      <w:r w:rsidRPr="00AD76E4">
        <w:t>The GDP growth forecasted for the richest nations was raised to 2.2</w:t>
      </w:r>
      <w:r w:rsidRPr="00AD76E4">
        <w:rPr>
          <w:rFonts w:eastAsiaTheme="minorEastAsia" w:hint="eastAsia"/>
          <w:lang w:eastAsia="zh-TW"/>
        </w:rPr>
        <w:t>%</w:t>
      </w:r>
      <w:r w:rsidRPr="00AD76E4">
        <w:t xml:space="preserve"> from 2</w:t>
      </w:r>
      <w:r w:rsidRPr="00AD76E4">
        <w:rPr>
          <w:rFonts w:eastAsiaTheme="minorEastAsia" w:hint="eastAsia"/>
          <w:lang w:eastAsia="zh-TW"/>
        </w:rPr>
        <w:t>%</w:t>
      </w:r>
      <w:r w:rsidRPr="00AD76E4">
        <w:t xml:space="preserve"> which partially reflects improvement in the euro area, together with the U.S. ahead of developed peers by growing twice as fast as Japan.</w:t>
      </w:r>
      <w:r w:rsidRPr="00AD76E4">
        <w:rPr>
          <w:rFonts w:eastAsiaTheme="minorEastAsia" w:hint="eastAsia"/>
          <w:lang w:eastAsia="zh-TW"/>
        </w:rPr>
        <w:t xml:space="preserve"> But the </w:t>
      </w:r>
      <w:r w:rsidRPr="00AD76E4">
        <w:t>forecast for developing markets was cut to 5.3</w:t>
      </w:r>
      <w:r w:rsidRPr="00AD76E4">
        <w:rPr>
          <w:rFonts w:eastAsiaTheme="minorEastAsia" w:hint="eastAsia"/>
          <w:lang w:eastAsia="zh-TW"/>
        </w:rPr>
        <w:t>%</w:t>
      </w:r>
      <w:r w:rsidRPr="00AD76E4">
        <w:t xml:space="preserve"> from 5.6</w:t>
      </w:r>
      <w:r w:rsidRPr="00AD76E4">
        <w:rPr>
          <w:rFonts w:eastAsiaTheme="minorEastAsia" w:hint="eastAsia"/>
          <w:lang w:eastAsia="zh-TW"/>
        </w:rPr>
        <w:t xml:space="preserve">%, </w:t>
      </w:r>
      <w:r w:rsidRPr="00AD76E4">
        <w:t>lowered its forecast for China this year to 7.7</w:t>
      </w:r>
      <w:r w:rsidRPr="00AD76E4">
        <w:rPr>
          <w:rFonts w:eastAsiaTheme="minorEastAsia" w:hint="eastAsia"/>
          <w:lang w:eastAsia="zh-TW"/>
        </w:rPr>
        <w:t>%</w:t>
      </w:r>
      <w:r w:rsidRPr="00AD76E4">
        <w:t xml:space="preserve"> from 8</w:t>
      </w:r>
      <w:r w:rsidRPr="00AD76E4">
        <w:rPr>
          <w:rFonts w:eastAsiaTheme="minorEastAsia" w:hint="eastAsia"/>
          <w:lang w:eastAsia="zh-TW"/>
        </w:rPr>
        <w:t xml:space="preserve">%, </w:t>
      </w:r>
      <w:r w:rsidRPr="00AD76E4">
        <w:rPr>
          <w:rFonts w:eastAsiaTheme="minorEastAsia" w:hint="eastAsia"/>
          <w:color w:val="000000" w:themeColor="text1"/>
          <w:lang w:eastAsia="zh-TW"/>
        </w:rPr>
        <w:t>and</w:t>
      </w:r>
      <w:r w:rsidRPr="00AD76E4">
        <w:rPr>
          <w:color w:val="000000" w:themeColor="text1"/>
        </w:rPr>
        <w:t xml:space="preserve"> </w:t>
      </w:r>
      <w:r w:rsidRPr="00AD76E4">
        <w:rPr>
          <w:rFonts w:eastAsiaTheme="minorEastAsia" w:hint="eastAsia"/>
          <w:color w:val="000000" w:themeColor="text1"/>
          <w:lang w:eastAsia="zh-TW"/>
        </w:rPr>
        <w:t xml:space="preserve">4.8% </w:t>
      </w:r>
      <w:r w:rsidRPr="00AD76E4">
        <w:rPr>
          <w:color w:val="000000" w:themeColor="text1"/>
        </w:rPr>
        <w:t>for</w:t>
      </w:r>
      <w:r w:rsidRPr="00AD76E4">
        <w:rPr>
          <w:rFonts w:eastAsiaTheme="minorEastAsia" w:hint="eastAsia"/>
          <w:color w:val="000000" w:themeColor="text1"/>
          <w:lang w:eastAsia="zh-TW"/>
        </w:rPr>
        <w:t xml:space="preserve"> Malaysia in 2014, 4.9% both in 2015 and 2016.</w:t>
      </w:r>
    </w:p>
    <w:p w:rsidR="00FD2DBE" w:rsidRPr="00AD76E4" w:rsidRDefault="00FD2DBE" w:rsidP="00FD2DBE">
      <w:pPr>
        <w:ind w:left="1080"/>
        <w:jc w:val="both"/>
        <w:rPr>
          <w:color w:val="000000" w:themeColor="text1"/>
        </w:rPr>
      </w:pPr>
    </w:p>
    <w:p w:rsidR="00FD2DBE" w:rsidRPr="00AD76E4" w:rsidRDefault="00FD2DBE" w:rsidP="00FD2DBE">
      <w:pPr>
        <w:ind w:left="1080"/>
        <w:jc w:val="both"/>
        <w:rPr>
          <w:rFonts w:eastAsiaTheme="minorEastAsia"/>
          <w:color w:val="000000" w:themeColor="text1"/>
          <w:lang w:eastAsia="zh-TW"/>
        </w:rPr>
      </w:pPr>
      <w:r w:rsidRPr="00AD76E4">
        <w:rPr>
          <w:color w:val="000000" w:themeColor="text1"/>
        </w:rPr>
        <w:t>Moody’s Analytics forecasted</w:t>
      </w:r>
      <w:r w:rsidRPr="00AD76E4">
        <w:rPr>
          <w:rFonts w:eastAsiaTheme="minorEastAsia" w:hint="eastAsia"/>
          <w:color w:val="000000" w:themeColor="text1"/>
          <w:lang w:eastAsia="zh-TW"/>
        </w:rPr>
        <w:t>, t</w:t>
      </w:r>
      <w:r w:rsidRPr="00AD76E4">
        <w:rPr>
          <w:color w:val="000000" w:themeColor="text1"/>
        </w:rPr>
        <w:t xml:space="preserve">he economic </w:t>
      </w:r>
      <w:r w:rsidRPr="00AD76E4">
        <w:rPr>
          <w:rFonts w:eastAsiaTheme="minorEastAsia" w:hint="eastAsia"/>
          <w:color w:val="000000" w:themeColor="text1"/>
          <w:lang w:eastAsia="zh-TW"/>
        </w:rPr>
        <w:t xml:space="preserve">revival in the US and </w:t>
      </w:r>
      <w:r w:rsidRPr="00AD76E4">
        <w:rPr>
          <w:color w:val="000000" w:themeColor="text1"/>
        </w:rPr>
        <w:t>Europe, upbeat data from Japan,</w:t>
      </w:r>
      <w:r w:rsidRPr="00AD76E4">
        <w:rPr>
          <w:rFonts w:eastAsiaTheme="minorEastAsia" w:hint="eastAsia"/>
          <w:color w:val="000000" w:themeColor="text1"/>
          <w:lang w:eastAsia="zh-TW"/>
        </w:rPr>
        <w:t xml:space="preserve"> </w:t>
      </w:r>
      <w:r w:rsidRPr="00AD76E4">
        <w:rPr>
          <w:color w:val="000000" w:themeColor="text1"/>
        </w:rPr>
        <w:t xml:space="preserve">will push GDP growth in </w:t>
      </w:r>
      <w:proofErr w:type="spellStart"/>
      <w:r w:rsidRPr="00AD76E4">
        <w:rPr>
          <w:color w:val="000000" w:themeColor="text1"/>
        </w:rPr>
        <w:t>Asean</w:t>
      </w:r>
      <w:proofErr w:type="spellEnd"/>
      <w:r w:rsidRPr="00AD76E4">
        <w:rPr>
          <w:color w:val="000000" w:themeColor="text1"/>
        </w:rPr>
        <w:t xml:space="preserve"> economies while GDP </w:t>
      </w:r>
      <w:r w:rsidRPr="00AD76E4">
        <w:rPr>
          <w:rFonts w:eastAsiaTheme="minorEastAsia" w:hint="eastAsia"/>
          <w:color w:val="000000" w:themeColor="text1"/>
          <w:lang w:eastAsia="zh-TW"/>
        </w:rPr>
        <w:t>g</w:t>
      </w:r>
      <w:r w:rsidRPr="00AD76E4">
        <w:rPr>
          <w:color w:val="000000" w:themeColor="text1"/>
        </w:rPr>
        <w:t>rowth for ASEAN</w:t>
      </w:r>
      <w:r w:rsidRPr="00AD76E4">
        <w:rPr>
          <w:rFonts w:eastAsiaTheme="minorEastAsia" w:hint="eastAsia"/>
          <w:color w:val="000000" w:themeColor="text1"/>
          <w:lang w:eastAsia="zh-TW"/>
        </w:rPr>
        <w:t>-</w:t>
      </w:r>
      <w:r w:rsidRPr="00AD76E4">
        <w:rPr>
          <w:color w:val="000000" w:themeColor="text1"/>
        </w:rPr>
        <w:t>5</w:t>
      </w:r>
      <w:r w:rsidRPr="00AD76E4">
        <w:rPr>
          <w:rFonts w:eastAsiaTheme="minorEastAsia" w:hint="eastAsia"/>
          <w:color w:val="000000" w:themeColor="text1"/>
          <w:lang w:eastAsia="zh-TW"/>
        </w:rPr>
        <w:t xml:space="preserve"> </w:t>
      </w:r>
      <w:r w:rsidRPr="00AD76E4">
        <w:rPr>
          <w:rFonts w:eastAsiaTheme="minorEastAsia"/>
          <w:color w:val="000000" w:themeColor="text1"/>
          <w:lang w:eastAsia="zh-TW"/>
        </w:rPr>
        <w:t>will</w:t>
      </w:r>
      <w:r w:rsidRPr="00AD76E4">
        <w:rPr>
          <w:color w:val="000000" w:themeColor="text1"/>
        </w:rPr>
        <w:t xml:space="preserve"> be 5.51 % in 2014</w:t>
      </w:r>
      <w:r w:rsidRPr="00AD76E4">
        <w:rPr>
          <w:rFonts w:eastAsiaTheme="minorEastAsia" w:hint="eastAsia"/>
          <w:color w:val="000000" w:themeColor="text1"/>
          <w:lang w:eastAsia="zh-TW"/>
        </w:rPr>
        <w:t>.</w:t>
      </w:r>
    </w:p>
    <w:p w:rsidR="00FD2DBE" w:rsidRPr="00AD76E4" w:rsidRDefault="00FD2DBE" w:rsidP="00FD2DBE">
      <w:pPr>
        <w:tabs>
          <w:tab w:val="left" w:pos="5780"/>
        </w:tabs>
        <w:ind w:left="1080"/>
        <w:jc w:val="both"/>
        <w:rPr>
          <w:rFonts w:eastAsiaTheme="minorEastAsia"/>
          <w:color w:val="000000" w:themeColor="text1"/>
          <w:lang w:eastAsia="zh-TW"/>
        </w:rPr>
      </w:pPr>
      <w:r w:rsidRPr="00AD76E4">
        <w:rPr>
          <w:rFonts w:eastAsiaTheme="minorEastAsia"/>
          <w:color w:val="000000" w:themeColor="text1"/>
          <w:lang w:eastAsia="zh-TW"/>
        </w:rPr>
        <w:tab/>
      </w:r>
    </w:p>
    <w:p w:rsidR="00FD2DBE" w:rsidRPr="00AD76E4" w:rsidRDefault="00FD2DBE" w:rsidP="00FD2DBE">
      <w:pPr>
        <w:spacing w:after="200"/>
        <w:ind w:left="1080"/>
        <w:jc w:val="both"/>
        <w:rPr>
          <w:rFonts w:eastAsia="PMingLiU"/>
          <w:lang w:eastAsia="zh-TW"/>
        </w:rPr>
      </w:pPr>
      <w:r w:rsidRPr="00AD76E4">
        <w:rPr>
          <w:rFonts w:eastAsiaTheme="minorEastAsia"/>
          <w:color w:val="000000" w:themeColor="text1"/>
          <w:lang w:eastAsia="zh-TW"/>
        </w:rPr>
        <w:t>A</w:t>
      </w:r>
      <w:r w:rsidRPr="00AD76E4">
        <w:rPr>
          <w:color w:val="000000" w:themeColor="text1"/>
        </w:rPr>
        <w:t>ccording to a Financial Times poll of 15 steel analysts</w:t>
      </w:r>
      <w:r w:rsidRPr="00AD76E4">
        <w:rPr>
          <w:rFonts w:eastAsiaTheme="minorEastAsia" w:hint="eastAsia"/>
          <w:color w:val="000000" w:themeColor="text1"/>
          <w:lang w:eastAsia="zh-TW"/>
        </w:rPr>
        <w:t>, t</w:t>
      </w:r>
      <w:r w:rsidRPr="00AD76E4">
        <w:rPr>
          <w:color w:val="000000" w:themeColor="text1"/>
        </w:rPr>
        <w:t>he global steel industry is expected to make a recovery in 2014</w:t>
      </w:r>
      <w:r w:rsidRPr="00AD76E4">
        <w:rPr>
          <w:rFonts w:eastAsiaTheme="minorEastAsia" w:hint="eastAsia"/>
          <w:color w:val="000000" w:themeColor="text1"/>
          <w:lang w:eastAsia="zh-TW"/>
        </w:rPr>
        <w:t>, the w</w:t>
      </w:r>
      <w:r w:rsidRPr="00AD76E4">
        <w:t>orld production of steel will rise by 3.6</w:t>
      </w:r>
      <w:r w:rsidRPr="00AD76E4">
        <w:rPr>
          <w:rFonts w:eastAsiaTheme="minorEastAsia" w:hint="eastAsia"/>
          <w:lang w:eastAsia="zh-TW"/>
        </w:rPr>
        <w:t>%</w:t>
      </w:r>
      <w:r w:rsidRPr="00AD76E4">
        <w:t>, with steel growth finally returning to Europe after bottoming out last year.</w:t>
      </w:r>
      <w:r w:rsidRPr="00AD76E4">
        <w:rPr>
          <w:rFonts w:eastAsiaTheme="minorEastAsia" w:hint="eastAsia"/>
          <w:lang w:eastAsia="zh-TW"/>
        </w:rPr>
        <w:t xml:space="preserve"> </w:t>
      </w:r>
      <w:r w:rsidRPr="00AD76E4">
        <w:rPr>
          <w:rFonts w:eastAsia="PMingLiU"/>
          <w:lang w:eastAsia="zh-TW"/>
        </w:rPr>
        <w:t xml:space="preserve"> </w:t>
      </w:r>
      <w:r w:rsidRPr="00AD76E4">
        <w:rPr>
          <w:rFonts w:eastAsiaTheme="minorEastAsia" w:hint="eastAsia"/>
          <w:lang w:eastAsia="zh-TW"/>
        </w:rPr>
        <w:t>T</w:t>
      </w:r>
      <w:r w:rsidRPr="00AD76E4">
        <w:rPr>
          <w:rFonts w:eastAsia="PMingLiU"/>
          <w:lang w:eastAsia="zh-TW"/>
        </w:rPr>
        <w:t xml:space="preserve">he world crude steel production in November 2013 for the 65 countries reporting to the WSA was 127 million tons </w:t>
      </w:r>
      <w:r w:rsidRPr="00AD76E4">
        <w:rPr>
          <w:rFonts w:eastAsiaTheme="minorEastAsia" w:hint="eastAsia"/>
          <w:lang w:eastAsia="zh-TW"/>
        </w:rPr>
        <w:t xml:space="preserve">also </w:t>
      </w:r>
      <w:r w:rsidRPr="00AD76E4">
        <w:rPr>
          <w:rFonts w:eastAsia="PMingLiU"/>
          <w:lang w:eastAsia="zh-TW"/>
        </w:rPr>
        <w:t>showing an increase of 3.6% year-on-year.</w:t>
      </w:r>
      <w:r w:rsidRPr="00AD76E4">
        <w:rPr>
          <w:rFonts w:eastAsiaTheme="minorEastAsia"/>
          <w:lang w:eastAsia="zh-TW"/>
        </w:rPr>
        <w:t xml:space="preserve">  </w:t>
      </w:r>
    </w:p>
    <w:p w:rsidR="00FD2DBE" w:rsidRPr="00AD76E4" w:rsidRDefault="00FD2DBE" w:rsidP="00FD2DBE">
      <w:pPr>
        <w:spacing w:after="200"/>
        <w:ind w:left="1080"/>
        <w:jc w:val="both"/>
        <w:rPr>
          <w:rFonts w:eastAsiaTheme="minorEastAsia"/>
          <w:color w:val="000000" w:themeColor="text1"/>
          <w:lang w:eastAsia="zh-TW"/>
        </w:rPr>
      </w:pPr>
      <w:r w:rsidRPr="00AD76E4">
        <w:rPr>
          <w:rFonts w:eastAsiaTheme="minorEastAsia" w:hint="eastAsia"/>
          <w:lang w:eastAsia="zh-TW"/>
        </w:rPr>
        <w:t>T</w:t>
      </w:r>
      <w:r w:rsidRPr="00AD76E4">
        <w:rPr>
          <w:rFonts w:eastAsiaTheme="minorEastAsia"/>
          <w:lang w:eastAsia="zh-TW"/>
        </w:rPr>
        <w:t xml:space="preserve">he </w:t>
      </w:r>
      <w:r w:rsidRPr="00AD76E4">
        <w:rPr>
          <w:rFonts w:eastAsiaTheme="minorEastAsia" w:hint="eastAsia"/>
          <w:lang w:eastAsia="zh-TW"/>
        </w:rPr>
        <w:t>s</w:t>
      </w:r>
      <w:r w:rsidRPr="00AD76E4">
        <w:t xml:space="preserve">teel </w:t>
      </w:r>
      <w:r w:rsidRPr="00AD76E4">
        <w:rPr>
          <w:rFonts w:eastAsiaTheme="minorEastAsia"/>
          <w:lang w:eastAsia="zh-TW"/>
        </w:rPr>
        <w:t xml:space="preserve">apparent </w:t>
      </w:r>
      <w:r w:rsidRPr="00AD76E4">
        <w:rPr>
          <w:rFonts w:eastAsiaTheme="minorEastAsia" w:hint="eastAsia"/>
          <w:lang w:eastAsia="zh-TW"/>
        </w:rPr>
        <w:t>c</w:t>
      </w:r>
      <w:r w:rsidRPr="00AD76E4">
        <w:rPr>
          <w:rFonts w:eastAsiaTheme="minorEastAsia"/>
          <w:lang w:eastAsia="zh-TW"/>
        </w:rPr>
        <w:t>onsumption</w:t>
      </w:r>
      <w:r w:rsidRPr="00AD76E4">
        <w:t xml:space="preserve"> </w:t>
      </w:r>
      <w:r w:rsidRPr="00AD76E4">
        <w:rPr>
          <w:rFonts w:eastAsiaTheme="minorEastAsia" w:hint="eastAsia"/>
          <w:lang w:eastAsia="zh-TW"/>
        </w:rPr>
        <w:t xml:space="preserve">of 2014 </w:t>
      </w:r>
      <w:r w:rsidRPr="00AD76E4">
        <w:t>in China forecasted</w:t>
      </w:r>
      <w:r w:rsidRPr="00AD76E4">
        <w:rPr>
          <w:rFonts w:eastAsiaTheme="minorEastAsia"/>
          <w:lang w:eastAsia="zh-TW"/>
        </w:rPr>
        <w:t xml:space="preserve"> </w:t>
      </w:r>
      <w:r w:rsidRPr="00AD76E4">
        <w:rPr>
          <w:rFonts w:eastAsiaTheme="minorEastAsia" w:hint="eastAsia"/>
          <w:lang w:eastAsia="zh-TW"/>
        </w:rPr>
        <w:t xml:space="preserve">by </w:t>
      </w:r>
      <w:proofErr w:type="gramStart"/>
      <w:r w:rsidRPr="00AD76E4">
        <w:rPr>
          <w:rFonts w:eastAsiaTheme="minorEastAsia"/>
          <w:lang w:eastAsia="zh-TW"/>
        </w:rPr>
        <w:t>CISA(</w:t>
      </w:r>
      <w:proofErr w:type="gramEnd"/>
      <w:r w:rsidRPr="00AD76E4">
        <w:rPr>
          <w:rFonts w:eastAsiaTheme="minorEastAsia"/>
          <w:lang w:eastAsia="zh-TW"/>
        </w:rPr>
        <w:t>China Iron and Steel Association)</w:t>
      </w:r>
      <w:r w:rsidRPr="00AD76E4">
        <w:t xml:space="preserve"> </w:t>
      </w:r>
      <w:r w:rsidRPr="00AD76E4">
        <w:rPr>
          <w:rFonts w:eastAsiaTheme="minorEastAsia"/>
          <w:lang w:eastAsia="zh-TW"/>
        </w:rPr>
        <w:t xml:space="preserve">will </w:t>
      </w:r>
      <w:r w:rsidRPr="00AD76E4">
        <w:t xml:space="preserve">grow </w:t>
      </w:r>
      <w:r w:rsidRPr="00AD76E4">
        <w:rPr>
          <w:rFonts w:eastAsiaTheme="minorEastAsia"/>
          <w:lang w:eastAsia="zh-TW"/>
        </w:rPr>
        <w:t>3.1</w:t>
      </w:r>
      <w:r w:rsidRPr="00AD76E4">
        <w:t>%</w:t>
      </w:r>
      <w:r w:rsidRPr="00AD76E4">
        <w:rPr>
          <w:rFonts w:eastAsiaTheme="minorEastAsia" w:hint="eastAsia"/>
          <w:lang w:eastAsia="zh-TW"/>
        </w:rPr>
        <w:t xml:space="preserve"> to 750 million tons compared with 2013</w:t>
      </w:r>
      <w:r w:rsidRPr="00AD76E4">
        <w:t>.</w:t>
      </w:r>
      <w:r w:rsidRPr="00AD76E4">
        <w:rPr>
          <w:rFonts w:eastAsiaTheme="minorEastAsia"/>
          <w:lang w:eastAsia="zh-TW"/>
        </w:rPr>
        <w:t xml:space="preserve"> </w:t>
      </w:r>
      <w:r w:rsidRPr="00AD76E4">
        <w:rPr>
          <w:rFonts w:eastAsiaTheme="minorEastAsia"/>
          <w:color w:val="000000" w:themeColor="text1"/>
          <w:lang w:eastAsia="zh-TW"/>
        </w:rPr>
        <w:t xml:space="preserve">But </w:t>
      </w:r>
      <w:r w:rsidRPr="00AD76E4">
        <w:rPr>
          <w:rFonts w:eastAsiaTheme="minorEastAsia" w:hint="eastAsia"/>
          <w:color w:val="000000" w:themeColor="text1"/>
          <w:lang w:eastAsia="zh-TW"/>
        </w:rPr>
        <w:t xml:space="preserve">Chinese </w:t>
      </w:r>
      <w:r w:rsidRPr="00AD76E4">
        <w:rPr>
          <w:rFonts w:eastAsiaTheme="minorEastAsia"/>
          <w:color w:val="000000" w:themeColor="text1"/>
          <w:lang w:eastAsia="zh-TW"/>
        </w:rPr>
        <w:t>government</w:t>
      </w:r>
      <w:r w:rsidRPr="00AD76E4">
        <w:rPr>
          <w:rFonts w:eastAsiaTheme="minorEastAsia" w:hint="eastAsia"/>
          <w:color w:val="000000" w:themeColor="text1"/>
          <w:lang w:eastAsia="zh-TW"/>
        </w:rPr>
        <w:t xml:space="preserve"> authority </w:t>
      </w:r>
      <w:r w:rsidRPr="00AD76E4">
        <w:rPr>
          <w:rFonts w:eastAsia="PMingLiU"/>
          <w:color w:val="000000" w:themeColor="text1"/>
        </w:rPr>
        <w:t>has reiterated</w:t>
      </w:r>
      <w:r w:rsidRPr="00AD76E4">
        <w:rPr>
          <w:rFonts w:eastAsia="PMingLiU" w:hint="eastAsia"/>
          <w:color w:val="000000" w:themeColor="text1"/>
          <w:lang w:eastAsia="zh-TW"/>
        </w:rPr>
        <w:t xml:space="preserve"> e</w:t>
      </w:r>
      <w:r w:rsidRPr="00AD76E4">
        <w:rPr>
          <w:rFonts w:eastAsia="PMingLiU"/>
          <w:color w:val="000000" w:themeColor="text1"/>
        </w:rPr>
        <w:t xml:space="preserve">nvironmental </w:t>
      </w:r>
      <w:r w:rsidRPr="00AD76E4">
        <w:rPr>
          <w:rFonts w:eastAsia="PMingLiU" w:hint="eastAsia"/>
          <w:color w:val="000000" w:themeColor="text1"/>
          <w:lang w:eastAsia="zh-TW"/>
        </w:rPr>
        <w:t>p</w:t>
      </w:r>
      <w:r w:rsidRPr="00AD76E4">
        <w:rPr>
          <w:rFonts w:eastAsia="PMingLiU"/>
          <w:color w:val="000000" w:themeColor="text1"/>
        </w:rPr>
        <w:t>rotection</w:t>
      </w:r>
      <w:r w:rsidRPr="00AD76E4">
        <w:rPr>
          <w:rFonts w:eastAsia="PMingLiU" w:hint="eastAsia"/>
          <w:color w:val="000000" w:themeColor="text1"/>
          <w:lang w:eastAsia="zh-TW"/>
        </w:rPr>
        <w:t xml:space="preserve"> appeal for</w:t>
      </w:r>
      <w:r w:rsidRPr="00AD76E4">
        <w:rPr>
          <w:rFonts w:eastAsia="PMingLiU"/>
          <w:color w:val="000000" w:themeColor="text1"/>
        </w:rPr>
        <w:t xml:space="preserve"> cut</w:t>
      </w:r>
      <w:r w:rsidRPr="00AD76E4">
        <w:rPr>
          <w:rFonts w:eastAsia="PMingLiU" w:hint="eastAsia"/>
          <w:color w:val="000000" w:themeColor="text1"/>
          <w:lang w:eastAsia="zh-TW"/>
        </w:rPr>
        <w:t>ting</w:t>
      </w:r>
      <w:r w:rsidRPr="00AD76E4">
        <w:rPr>
          <w:rFonts w:eastAsia="PMingLiU"/>
          <w:color w:val="000000" w:themeColor="text1"/>
        </w:rPr>
        <w:t xml:space="preserve"> steel output and coal consumption to battle air pollution</w:t>
      </w:r>
      <w:r w:rsidRPr="00AD76E4">
        <w:rPr>
          <w:rFonts w:eastAsia="PMingLiU" w:hint="eastAsia"/>
          <w:color w:val="000000" w:themeColor="text1"/>
          <w:lang w:eastAsia="zh-TW"/>
        </w:rPr>
        <w:t xml:space="preserve">. </w:t>
      </w:r>
      <w:r w:rsidRPr="00AD76E4">
        <w:rPr>
          <w:rFonts w:eastAsia="PMingLiU"/>
          <w:color w:val="000000" w:themeColor="text1"/>
        </w:rPr>
        <w:t xml:space="preserve">For 2014, </w:t>
      </w:r>
      <w:proofErr w:type="spellStart"/>
      <w:r w:rsidRPr="00AD76E4">
        <w:rPr>
          <w:rFonts w:eastAsia="PMingLiU"/>
          <w:color w:val="000000" w:themeColor="text1"/>
        </w:rPr>
        <w:t>Hebei</w:t>
      </w:r>
      <w:proofErr w:type="spellEnd"/>
      <w:r w:rsidRPr="00AD76E4">
        <w:rPr>
          <w:rFonts w:eastAsia="PMingLiU"/>
          <w:color w:val="000000" w:themeColor="text1"/>
        </w:rPr>
        <w:t xml:space="preserve"> </w:t>
      </w:r>
      <w:r w:rsidRPr="00AD76E4">
        <w:rPr>
          <w:rFonts w:eastAsia="PMingLiU" w:hint="eastAsia"/>
          <w:color w:val="000000" w:themeColor="text1"/>
          <w:lang w:eastAsia="zh-TW"/>
        </w:rPr>
        <w:t xml:space="preserve">province </w:t>
      </w:r>
      <w:r w:rsidRPr="00AD76E4">
        <w:rPr>
          <w:rFonts w:eastAsia="PMingLiU"/>
          <w:color w:val="000000" w:themeColor="text1"/>
        </w:rPr>
        <w:t>plans to remove 15 million tons/year of crude steel capacity</w:t>
      </w:r>
      <w:r w:rsidRPr="00AD76E4">
        <w:rPr>
          <w:rFonts w:eastAsia="PMingLiU" w:hint="eastAsia"/>
          <w:color w:val="000000" w:themeColor="text1"/>
          <w:lang w:eastAsia="zh-TW"/>
        </w:rPr>
        <w:t>.</w:t>
      </w:r>
      <w:r w:rsidRPr="00AD76E4">
        <w:rPr>
          <w:rFonts w:eastAsia="PMingLiU"/>
          <w:color w:val="000000" w:themeColor="text1"/>
          <w:lang w:eastAsia="zh-TW"/>
        </w:rPr>
        <w:t xml:space="preserve"> </w:t>
      </w:r>
      <w:r w:rsidRPr="00AD76E4">
        <w:rPr>
          <w:rFonts w:eastAsiaTheme="minorEastAsia"/>
          <w:color w:val="000000" w:themeColor="text1"/>
          <w:lang w:eastAsia="zh-TW"/>
        </w:rPr>
        <w:t>Anyhow, China’s steel consumption has entered a bottleneck and steel output is going to be limited for year 2014.</w:t>
      </w:r>
      <w:r w:rsidRPr="00AD76E4">
        <w:rPr>
          <w:rFonts w:eastAsiaTheme="minorEastAsia" w:hint="eastAsia"/>
          <w:color w:val="000000" w:themeColor="text1"/>
          <w:lang w:eastAsia="zh-TW"/>
        </w:rPr>
        <w:t xml:space="preserve"> </w:t>
      </w:r>
      <w:r w:rsidRPr="00AD76E4">
        <w:rPr>
          <w:rFonts w:eastAsiaTheme="minorEastAsia"/>
          <w:color w:val="000000" w:themeColor="text1"/>
          <w:lang w:eastAsia="zh-TW"/>
        </w:rPr>
        <w:t>As a result of excess steel supply</w:t>
      </w:r>
      <w:r w:rsidRPr="00AD76E4">
        <w:rPr>
          <w:rFonts w:eastAsiaTheme="minorEastAsia" w:hint="eastAsia"/>
          <w:color w:val="000000" w:themeColor="text1"/>
          <w:lang w:eastAsia="zh-TW"/>
        </w:rPr>
        <w:t xml:space="preserve"> cutting</w:t>
      </w:r>
      <w:r w:rsidRPr="00AD76E4">
        <w:rPr>
          <w:rFonts w:eastAsiaTheme="minorEastAsia"/>
          <w:color w:val="000000" w:themeColor="text1"/>
          <w:lang w:eastAsia="zh-TW"/>
        </w:rPr>
        <w:t xml:space="preserve"> in China, ASEAN steel </w:t>
      </w:r>
      <w:r w:rsidRPr="00AD76E4">
        <w:rPr>
          <w:rFonts w:eastAsiaTheme="minorEastAsia" w:hint="eastAsia"/>
          <w:color w:val="000000" w:themeColor="text1"/>
          <w:lang w:eastAsia="zh-TW"/>
        </w:rPr>
        <w:t>market is expected to be more stable</w:t>
      </w:r>
      <w:r w:rsidRPr="00AD76E4">
        <w:rPr>
          <w:rFonts w:eastAsiaTheme="minorEastAsia"/>
          <w:color w:val="000000" w:themeColor="text1"/>
          <w:lang w:eastAsia="zh-TW"/>
        </w:rPr>
        <w:t xml:space="preserve"> than last year. </w:t>
      </w:r>
    </w:p>
    <w:p w:rsidR="006F2734" w:rsidRDefault="00FD2DBE" w:rsidP="00FD2DBE">
      <w:pPr>
        <w:spacing w:after="200"/>
        <w:ind w:leftChars="414" w:left="994"/>
        <w:rPr>
          <w:rFonts w:eastAsiaTheme="minorEastAsia"/>
          <w:sz w:val="22"/>
          <w:szCs w:val="22"/>
          <w:lang w:eastAsia="zh-TW"/>
        </w:rPr>
      </w:pPr>
      <w:r w:rsidRPr="00AD76E4">
        <w:rPr>
          <w:color w:val="000000" w:themeColor="text1"/>
        </w:rPr>
        <w:t>The sales volume of the</w:t>
      </w:r>
      <w:r w:rsidRPr="00AD76E4">
        <w:rPr>
          <w:rFonts w:eastAsiaTheme="minorEastAsia"/>
          <w:color w:val="000000" w:themeColor="text1"/>
          <w:lang w:eastAsia="zh-TW"/>
        </w:rPr>
        <w:t xml:space="preserve"> Group has increase</w:t>
      </w:r>
      <w:r w:rsidR="009A6E2B">
        <w:rPr>
          <w:rFonts w:eastAsiaTheme="minorEastAsia"/>
          <w:color w:val="000000" w:themeColor="text1"/>
          <w:lang w:eastAsia="zh-TW"/>
        </w:rPr>
        <w:t>d</w:t>
      </w:r>
      <w:r w:rsidRPr="00AD76E4">
        <w:rPr>
          <w:rFonts w:eastAsiaTheme="minorEastAsia"/>
          <w:color w:val="000000" w:themeColor="text1"/>
          <w:lang w:eastAsia="zh-TW"/>
        </w:rPr>
        <w:t xml:space="preserve"> </w:t>
      </w:r>
      <w:r w:rsidRPr="00AD76E4">
        <w:rPr>
          <w:rFonts w:eastAsia="Times New Roman"/>
          <w:color w:val="000000" w:themeColor="text1"/>
        </w:rPr>
        <w:t>in</w:t>
      </w:r>
      <w:r w:rsidRPr="00AD76E4">
        <w:rPr>
          <w:rFonts w:eastAsiaTheme="minorEastAsia" w:hint="eastAsia"/>
          <w:color w:val="000000" w:themeColor="text1"/>
          <w:lang w:eastAsia="zh-TW"/>
        </w:rPr>
        <w:t xml:space="preserve"> </w:t>
      </w:r>
      <w:r w:rsidRPr="00AD76E4">
        <w:rPr>
          <w:rFonts w:eastAsiaTheme="minorEastAsia"/>
          <w:color w:val="000000" w:themeColor="text1"/>
          <w:lang w:eastAsia="zh-TW"/>
        </w:rPr>
        <w:t>4</w:t>
      </w:r>
      <w:r w:rsidRPr="00AD76E4">
        <w:rPr>
          <w:rFonts w:eastAsiaTheme="minorEastAsia"/>
          <w:color w:val="000000" w:themeColor="text1"/>
          <w:vertAlign w:val="superscript"/>
          <w:lang w:eastAsia="zh-TW"/>
        </w:rPr>
        <w:t xml:space="preserve">th </w:t>
      </w:r>
      <w:r w:rsidRPr="00AD76E4">
        <w:rPr>
          <w:rFonts w:eastAsiaTheme="minorEastAsia"/>
          <w:color w:val="000000" w:themeColor="text1"/>
          <w:lang w:eastAsia="zh-TW"/>
        </w:rPr>
        <w:t xml:space="preserve">quarter of 2013 as compared to previous </w:t>
      </w:r>
      <w:r w:rsidRPr="00AD76E4">
        <w:rPr>
          <w:rFonts w:eastAsiaTheme="minorEastAsia" w:hint="eastAsia"/>
          <w:color w:val="000000" w:themeColor="text1"/>
          <w:lang w:eastAsia="zh-TW"/>
        </w:rPr>
        <w:t xml:space="preserve">quarter, </w:t>
      </w:r>
      <w:r w:rsidRPr="00AD76E4">
        <w:rPr>
          <w:rFonts w:eastAsiaTheme="minorEastAsia"/>
          <w:color w:val="000000" w:themeColor="text1"/>
          <w:lang w:eastAsia="zh-TW"/>
        </w:rPr>
        <w:t>faced with the thin margin in this competitive market</w:t>
      </w:r>
      <w:r w:rsidRPr="00AD76E4">
        <w:rPr>
          <w:rFonts w:eastAsiaTheme="minorEastAsia" w:hint="eastAsia"/>
          <w:color w:val="000000" w:themeColor="text1"/>
          <w:lang w:eastAsia="zh-TW"/>
        </w:rPr>
        <w:t xml:space="preserve">. However, the prospect of </w:t>
      </w:r>
      <w:r w:rsidRPr="00AD76E4">
        <w:rPr>
          <w:rFonts w:eastAsiaTheme="minorEastAsia"/>
          <w:color w:val="000000" w:themeColor="text1"/>
          <w:lang w:eastAsia="zh-TW"/>
        </w:rPr>
        <w:t>1</w:t>
      </w:r>
      <w:r w:rsidRPr="00AD76E4">
        <w:rPr>
          <w:rFonts w:eastAsiaTheme="minorEastAsia"/>
          <w:color w:val="000000" w:themeColor="text1"/>
          <w:vertAlign w:val="superscript"/>
          <w:lang w:eastAsia="zh-TW"/>
        </w:rPr>
        <w:t>st</w:t>
      </w:r>
      <w:r w:rsidRPr="00AD76E4">
        <w:rPr>
          <w:rFonts w:eastAsia="Times New Roman"/>
          <w:color w:val="000000" w:themeColor="text1"/>
        </w:rPr>
        <w:t xml:space="preserve"> quarter</w:t>
      </w:r>
      <w:r w:rsidRPr="00AD76E4">
        <w:rPr>
          <w:rFonts w:eastAsiaTheme="minorEastAsia" w:hint="eastAsia"/>
          <w:color w:val="000000" w:themeColor="text1"/>
          <w:lang w:eastAsia="zh-TW"/>
        </w:rPr>
        <w:t xml:space="preserve"> w</w:t>
      </w:r>
      <w:r w:rsidRPr="00AD76E4">
        <w:rPr>
          <w:rFonts w:eastAsiaTheme="minorEastAsia"/>
          <w:color w:val="000000" w:themeColor="text1"/>
          <w:lang w:eastAsia="zh-TW"/>
        </w:rPr>
        <w:t>ill</w:t>
      </w:r>
      <w:r w:rsidRPr="00AD76E4">
        <w:rPr>
          <w:rFonts w:eastAsiaTheme="minorEastAsia" w:hint="eastAsia"/>
          <w:color w:val="000000" w:themeColor="text1"/>
          <w:lang w:eastAsia="zh-TW"/>
        </w:rPr>
        <w:t xml:space="preserve"> be optimistic. T</w:t>
      </w:r>
      <w:r w:rsidRPr="00AD76E4">
        <w:rPr>
          <w:rFonts w:eastAsiaTheme="minorEastAsia"/>
          <w:color w:val="000000" w:themeColor="text1"/>
          <w:lang w:eastAsia="zh-TW"/>
        </w:rPr>
        <w:t>he Group has ta</w:t>
      </w:r>
      <w:r w:rsidR="00503DF1">
        <w:rPr>
          <w:rFonts w:eastAsiaTheme="minorEastAsia"/>
          <w:color w:val="000000" w:themeColor="text1"/>
          <w:lang w:eastAsia="zh-TW"/>
        </w:rPr>
        <w:t xml:space="preserve">ken steps aimed at reducing </w:t>
      </w:r>
      <w:r w:rsidRPr="00AD76E4">
        <w:rPr>
          <w:rFonts w:eastAsiaTheme="minorEastAsia"/>
          <w:color w:val="000000" w:themeColor="text1"/>
          <w:lang w:eastAsia="zh-TW"/>
        </w:rPr>
        <w:t>production cost and</w:t>
      </w:r>
      <w:r w:rsidRPr="00AD76E4">
        <w:rPr>
          <w:rFonts w:eastAsiaTheme="minorEastAsia" w:hint="eastAsia"/>
          <w:color w:val="000000" w:themeColor="text1"/>
          <w:lang w:eastAsia="zh-TW"/>
        </w:rPr>
        <w:t xml:space="preserve"> </w:t>
      </w:r>
      <w:r w:rsidRPr="00AD76E4">
        <w:rPr>
          <w:rFonts w:eastAsiaTheme="minorEastAsia"/>
          <w:color w:val="000000" w:themeColor="text1"/>
          <w:lang w:eastAsia="zh-TW"/>
        </w:rPr>
        <w:t>increas</w:t>
      </w:r>
      <w:r w:rsidRPr="00AD76E4">
        <w:rPr>
          <w:rFonts w:eastAsiaTheme="minorEastAsia" w:hint="eastAsia"/>
          <w:color w:val="000000" w:themeColor="text1"/>
          <w:lang w:eastAsia="zh-TW"/>
        </w:rPr>
        <w:t>ing</w:t>
      </w:r>
      <w:r w:rsidR="00503DF1">
        <w:rPr>
          <w:rFonts w:eastAsiaTheme="minorEastAsia"/>
          <w:color w:val="000000" w:themeColor="text1"/>
          <w:lang w:eastAsia="zh-TW"/>
        </w:rPr>
        <w:t xml:space="preserve"> </w:t>
      </w:r>
      <w:r w:rsidRPr="00AD76E4">
        <w:rPr>
          <w:rFonts w:eastAsiaTheme="minorEastAsia"/>
          <w:color w:val="000000" w:themeColor="text1"/>
          <w:lang w:eastAsia="zh-TW"/>
        </w:rPr>
        <w:t>sale volume and profit.</w:t>
      </w:r>
      <w:r w:rsidRPr="00AD76E4">
        <w:rPr>
          <w:rFonts w:eastAsiaTheme="minorEastAsia" w:hint="eastAsia"/>
          <w:color w:val="000000" w:themeColor="text1"/>
          <w:lang w:eastAsia="zh-TW"/>
        </w:rPr>
        <w:t xml:space="preserve"> </w:t>
      </w:r>
      <w:r w:rsidRPr="00AD76E4">
        <w:rPr>
          <w:rFonts w:eastAsiaTheme="minorEastAsia"/>
          <w:color w:val="000000" w:themeColor="text1"/>
          <w:lang w:eastAsia="zh-TW"/>
        </w:rPr>
        <w:t>Besides the uncertain circumstances, the Group is cautiously optimistic to achieve a positive result in 2014.</w:t>
      </w:r>
    </w:p>
    <w:p w:rsidR="00997C13" w:rsidRDefault="00997C13" w:rsidP="001B7482">
      <w:pPr>
        <w:spacing w:after="200"/>
        <w:ind w:leftChars="414" w:left="994"/>
        <w:rPr>
          <w:color w:val="000000"/>
          <w:sz w:val="22"/>
          <w:szCs w:val="22"/>
          <w:lang w:eastAsia="zh-CN"/>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F2734" w:rsidRDefault="006F2734" w:rsidP="00C20B9C">
      <w:pPr>
        <w:tabs>
          <w:tab w:val="left" w:pos="1080"/>
          <w:tab w:val="left" w:pos="3960"/>
        </w:tabs>
        <w:ind w:left="1080" w:hanging="1080"/>
        <w:jc w:val="both"/>
        <w:rPr>
          <w:sz w:val="22"/>
          <w:szCs w:val="22"/>
        </w:rPr>
      </w:pPr>
    </w:p>
    <w:p w:rsidR="006F2734" w:rsidRPr="006E611C" w:rsidRDefault="006F2734" w:rsidP="00C20B9C">
      <w:pPr>
        <w:tabs>
          <w:tab w:val="left" w:pos="1080"/>
          <w:tab w:val="left" w:pos="3960"/>
        </w:tabs>
        <w:ind w:left="1080" w:hanging="1080"/>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firstRow="0" w:lastRow="0" w:firstColumn="0" w:lastColumn="0" w:noHBand="0" w:noVBand="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4E03D6">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Current</w:t>
            </w:r>
          </w:p>
          <w:p w:rsidR="00CC5E44" w:rsidRPr="006E611C" w:rsidRDefault="00CC5E44" w:rsidP="004E03D6">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4E03D6">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4E03D6">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925884">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925884">
              <w:rPr>
                <w:sz w:val="22"/>
                <w:szCs w:val="22"/>
              </w:rPr>
              <w:t>2</w:t>
            </w:r>
            <w:r w:rsidR="00A06778">
              <w:rPr>
                <w:sz w:val="22"/>
                <w:szCs w:val="22"/>
              </w:rPr>
              <w:t>,</w:t>
            </w:r>
            <w:r w:rsidR="00925884">
              <w:rPr>
                <w:sz w:val="22"/>
                <w:szCs w:val="22"/>
              </w:rPr>
              <w:t>325</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925884">
            <w:pPr>
              <w:jc w:val="both"/>
              <w:rPr>
                <w:sz w:val="22"/>
                <w:szCs w:val="22"/>
              </w:rPr>
            </w:pPr>
            <w:r w:rsidRPr="006E611C">
              <w:rPr>
                <w:sz w:val="22"/>
                <w:szCs w:val="22"/>
              </w:rPr>
              <w:t xml:space="preserve">             </w:t>
            </w:r>
            <w:r w:rsidR="00665989">
              <w:rPr>
                <w:sz w:val="22"/>
                <w:szCs w:val="22"/>
              </w:rPr>
              <w:t>1</w:t>
            </w:r>
            <w:r w:rsidR="00925884">
              <w:rPr>
                <w:sz w:val="22"/>
                <w:szCs w:val="22"/>
              </w:rPr>
              <w:t>4</w:t>
            </w:r>
            <w:r w:rsidR="00205F35">
              <w:rPr>
                <w:sz w:val="22"/>
                <w:szCs w:val="22"/>
              </w:rPr>
              <w:t>,</w:t>
            </w:r>
            <w:r w:rsidR="00925884">
              <w:rPr>
                <w:sz w:val="22"/>
                <w:szCs w:val="22"/>
              </w:rPr>
              <w:t>821</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925884">
            <w:pPr>
              <w:jc w:val="both"/>
              <w:rPr>
                <w:sz w:val="22"/>
                <w:szCs w:val="22"/>
              </w:rPr>
            </w:pPr>
            <w:r w:rsidRPr="006E611C">
              <w:rPr>
                <w:sz w:val="22"/>
                <w:szCs w:val="22"/>
              </w:rPr>
              <w:t xml:space="preserve">             </w:t>
            </w:r>
            <w:r w:rsidR="00925884">
              <w:rPr>
                <w:sz w:val="22"/>
                <w:szCs w:val="22"/>
              </w:rPr>
              <w:t xml:space="preserve"> (2,069</w:t>
            </w:r>
            <w:r w:rsidR="00665989">
              <w:rPr>
                <w:sz w:val="22"/>
                <w:szCs w:val="22"/>
              </w:rPr>
              <w:t>)</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925884">
            <w:pPr>
              <w:jc w:val="both"/>
              <w:rPr>
                <w:sz w:val="22"/>
                <w:szCs w:val="22"/>
              </w:rPr>
            </w:pPr>
            <w:r w:rsidRPr="006E611C">
              <w:rPr>
                <w:sz w:val="22"/>
                <w:szCs w:val="22"/>
              </w:rPr>
              <w:t xml:space="preserve">             </w:t>
            </w:r>
            <w:r w:rsidR="00C04EDA" w:rsidRPr="006E611C">
              <w:rPr>
                <w:sz w:val="22"/>
                <w:szCs w:val="22"/>
              </w:rPr>
              <w:t xml:space="preserve"> </w:t>
            </w:r>
            <w:r w:rsidR="00665989">
              <w:rPr>
                <w:sz w:val="22"/>
                <w:szCs w:val="22"/>
              </w:rPr>
              <w:t>(</w:t>
            </w:r>
            <w:r w:rsidR="00925884">
              <w:rPr>
                <w:sz w:val="22"/>
                <w:szCs w:val="22"/>
              </w:rPr>
              <w:t>5</w:t>
            </w:r>
            <w:r w:rsidR="00665989">
              <w:rPr>
                <w:sz w:val="22"/>
                <w:szCs w:val="22"/>
              </w:rPr>
              <w:t>,</w:t>
            </w:r>
            <w:r w:rsidR="00925884">
              <w:rPr>
                <w:sz w:val="22"/>
                <w:szCs w:val="22"/>
              </w:rPr>
              <w:t>410)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3B27E3" w:rsidP="00925884">
            <w:pPr>
              <w:jc w:val="both"/>
              <w:rPr>
                <w:sz w:val="22"/>
                <w:szCs w:val="22"/>
              </w:rPr>
            </w:pPr>
            <w:r w:rsidRPr="006E611C">
              <w:rPr>
                <w:sz w:val="22"/>
                <w:szCs w:val="22"/>
              </w:rPr>
              <w:t xml:space="preserve">               </w:t>
            </w:r>
            <w:r w:rsidR="00DF2D08">
              <w:rPr>
                <w:sz w:val="22"/>
                <w:szCs w:val="22"/>
              </w:rPr>
              <w:t xml:space="preserve">   </w:t>
            </w:r>
            <w:r w:rsidR="00925884">
              <w:rPr>
                <w:sz w:val="22"/>
                <w:szCs w:val="22"/>
              </w:rPr>
              <w:t>256</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6E611C" w:rsidRDefault="00CC5E44" w:rsidP="00925884">
            <w:pPr>
              <w:jc w:val="both"/>
              <w:rPr>
                <w:sz w:val="22"/>
                <w:szCs w:val="22"/>
              </w:rPr>
            </w:pPr>
            <w:r w:rsidRPr="006E611C">
              <w:rPr>
                <w:sz w:val="22"/>
                <w:szCs w:val="22"/>
              </w:rPr>
              <w:t xml:space="preserve">              </w:t>
            </w:r>
            <w:r w:rsidR="003022AE" w:rsidRPr="006E611C">
              <w:rPr>
                <w:sz w:val="22"/>
                <w:szCs w:val="22"/>
              </w:rPr>
              <w:t xml:space="preserve"> </w:t>
            </w:r>
            <w:r w:rsidR="00DF2D08">
              <w:rPr>
                <w:sz w:val="22"/>
                <w:szCs w:val="22"/>
              </w:rPr>
              <w:t>9</w:t>
            </w:r>
            <w:r w:rsidR="00C04EDA" w:rsidRPr="006E611C">
              <w:rPr>
                <w:sz w:val="22"/>
                <w:szCs w:val="22"/>
              </w:rPr>
              <w:t>,</w:t>
            </w:r>
            <w:r w:rsidR="00925884">
              <w:rPr>
                <w:sz w:val="22"/>
                <w:szCs w:val="22"/>
              </w:rPr>
              <w:t>411</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p w:rsidR="00035FF2" w:rsidRPr="006E611C" w:rsidRDefault="00035FF2" w:rsidP="004E03D6">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9914CC">
              <w:rPr>
                <w:sz w:val="22"/>
                <w:szCs w:val="22"/>
              </w:rPr>
              <w:t xml:space="preserve">  </w:t>
            </w:r>
            <w:r w:rsidR="00925884">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DF2D08">
              <w:rPr>
                <w:sz w:val="22"/>
                <w:szCs w:val="22"/>
              </w:rPr>
              <w:t>(48)</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925884">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DF2D08">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C04EDA" w:rsidRPr="006E611C">
              <w:rPr>
                <w:sz w:val="22"/>
                <w:szCs w:val="22"/>
              </w:rPr>
              <w:t xml:space="preserve"> </w:t>
            </w:r>
            <w:r w:rsidR="00DF2D08">
              <w:rPr>
                <w:sz w:val="22"/>
                <w:szCs w:val="22"/>
              </w:rPr>
              <w:t xml:space="preserve">  20</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665989">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DF2D08">
              <w:rPr>
                <w:sz w:val="22"/>
                <w:szCs w:val="22"/>
              </w:rPr>
              <w:t xml:space="preserve"> </w:t>
            </w:r>
            <w:r w:rsidR="00925884">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67136C">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3022AE" w:rsidRPr="006E611C">
              <w:rPr>
                <w:sz w:val="22"/>
                <w:szCs w:val="22"/>
              </w:rPr>
              <w:t xml:space="preserve"> </w:t>
            </w:r>
            <w:r w:rsidR="0067136C">
              <w:rPr>
                <w:sz w:val="22"/>
                <w:szCs w:val="22"/>
              </w:rPr>
              <w:t>(28)</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4E03D6">
            <w:pPr>
              <w:jc w:val="both"/>
              <w:rPr>
                <w:sz w:val="22"/>
                <w:szCs w:val="22"/>
              </w:rPr>
            </w:pPr>
          </w:p>
        </w:tc>
        <w:tc>
          <w:tcPr>
            <w:tcW w:w="216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left w:val="nil"/>
              <w:right w:val="nil"/>
            </w:tcBorders>
            <w:vAlign w:val="bottom"/>
          </w:tcPr>
          <w:p w:rsidR="00035FF2" w:rsidRPr="006E611C" w:rsidRDefault="00035FF2" w:rsidP="00925884">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w:t>
            </w:r>
            <w:r w:rsidR="00DF2D08">
              <w:rPr>
                <w:sz w:val="22"/>
                <w:szCs w:val="22"/>
              </w:rPr>
              <w:t xml:space="preserve">    </w:t>
            </w:r>
            <w:r w:rsidR="00925884">
              <w:rPr>
                <w:sz w:val="22"/>
                <w:szCs w:val="22"/>
              </w:rPr>
              <w:t>256</w:t>
            </w:r>
          </w:p>
        </w:tc>
        <w:tc>
          <w:tcPr>
            <w:tcW w:w="450" w:type="dxa"/>
            <w:gridSpan w:val="2"/>
            <w:tcBorders>
              <w:left w:val="nil"/>
              <w:right w:val="nil"/>
            </w:tcBorders>
            <w:vAlign w:val="bottom"/>
          </w:tcPr>
          <w:p w:rsidR="00035FF2" w:rsidRPr="006E611C" w:rsidRDefault="00035FF2" w:rsidP="004E03D6">
            <w:pPr>
              <w:jc w:val="both"/>
              <w:rPr>
                <w:sz w:val="22"/>
                <w:szCs w:val="22"/>
              </w:rPr>
            </w:pPr>
          </w:p>
        </w:tc>
        <w:tc>
          <w:tcPr>
            <w:tcW w:w="2160" w:type="dxa"/>
            <w:gridSpan w:val="2"/>
            <w:tcBorders>
              <w:left w:val="nil"/>
              <w:right w:val="nil"/>
            </w:tcBorders>
            <w:vAlign w:val="bottom"/>
          </w:tcPr>
          <w:p w:rsidR="00035FF2" w:rsidRPr="006E611C" w:rsidRDefault="00035FF2" w:rsidP="00925884">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67136C">
              <w:rPr>
                <w:sz w:val="22"/>
                <w:szCs w:val="22"/>
              </w:rPr>
              <w:t>9</w:t>
            </w:r>
            <w:r w:rsidR="0032269A" w:rsidRPr="006E611C">
              <w:rPr>
                <w:sz w:val="22"/>
                <w:szCs w:val="22"/>
              </w:rPr>
              <w:t>,</w:t>
            </w:r>
            <w:r w:rsidR="00925884">
              <w:rPr>
                <w:sz w:val="22"/>
                <w:szCs w:val="22"/>
              </w:rPr>
              <w:t>383</w:t>
            </w:r>
          </w:p>
        </w:tc>
        <w:tc>
          <w:tcPr>
            <w:tcW w:w="236" w:type="dxa"/>
            <w:tcBorders>
              <w:top w:val="nil"/>
              <w:left w:val="nil"/>
              <w:right w:val="nil"/>
            </w:tcBorders>
            <w:vAlign w:val="bottom"/>
          </w:tcPr>
          <w:p w:rsidR="00035FF2" w:rsidRPr="006E611C" w:rsidRDefault="00035FF2" w:rsidP="004E03D6">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the</w:t>
      </w:r>
      <w:proofErr w:type="gramEnd"/>
      <w:r w:rsidRPr="006E611C">
        <w:rPr>
          <w:sz w:val="22"/>
          <w:szCs w:val="22"/>
        </w:rPr>
        <w:t xml:space="preserv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F2734" w:rsidRDefault="0067136C" w:rsidP="008A18FC">
      <w:pPr>
        <w:ind w:left="1080"/>
        <w:jc w:val="both"/>
        <w:rPr>
          <w:sz w:val="22"/>
          <w:szCs w:val="22"/>
        </w:rPr>
      </w:pPr>
      <w:r>
        <w:rPr>
          <w:sz w:val="22"/>
          <w:szCs w:val="22"/>
        </w:rPr>
        <w:t>There is no corporate proposal announced during the quarter under review.</w:t>
      </w:r>
    </w:p>
    <w:p w:rsidR="006F2734" w:rsidRDefault="006F2734" w:rsidP="008A18FC">
      <w:pPr>
        <w:ind w:left="1080"/>
        <w:jc w:val="both"/>
        <w:rPr>
          <w:sz w:val="22"/>
          <w:szCs w:val="22"/>
        </w:rPr>
      </w:pPr>
    </w:p>
    <w:p w:rsidR="001A2E7D" w:rsidRDefault="001A2E7D" w:rsidP="008A18FC">
      <w:pPr>
        <w:ind w:left="1080"/>
        <w:jc w:val="both"/>
        <w:rPr>
          <w:sz w:val="22"/>
          <w:szCs w:val="22"/>
        </w:rPr>
      </w:pPr>
    </w:p>
    <w:p w:rsidR="001A2E7D" w:rsidRDefault="001A2E7D" w:rsidP="008A18FC">
      <w:pPr>
        <w:ind w:left="1080"/>
        <w:jc w:val="both"/>
        <w:rPr>
          <w:sz w:val="22"/>
          <w:szCs w:val="22"/>
        </w:rPr>
      </w:pPr>
    </w:p>
    <w:p w:rsidR="001A2E7D" w:rsidRDefault="001A2E7D" w:rsidP="008A18FC">
      <w:pPr>
        <w:ind w:left="1080"/>
        <w:jc w:val="both"/>
        <w:rPr>
          <w:sz w:val="22"/>
          <w:szCs w:val="22"/>
        </w:rPr>
      </w:pPr>
    </w:p>
    <w:p w:rsidR="001A2E7D" w:rsidRDefault="001A2E7D" w:rsidP="008A18FC">
      <w:pPr>
        <w:ind w:left="1080"/>
        <w:jc w:val="both"/>
        <w:rPr>
          <w:sz w:val="22"/>
          <w:szCs w:val="22"/>
        </w:rPr>
      </w:pPr>
    </w:p>
    <w:p w:rsidR="001A2E7D" w:rsidRDefault="001A2E7D" w:rsidP="008A18FC">
      <w:pPr>
        <w:ind w:left="1080"/>
        <w:jc w:val="both"/>
        <w:rPr>
          <w:sz w:val="22"/>
          <w:szCs w:val="22"/>
        </w:rPr>
      </w:pPr>
    </w:p>
    <w:p w:rsidR="001A2E7D" w:rsidRDefault="001A2E7D"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67136C">
        <w:rPr>
          <w:bCs/>
          <w:sz w:val="22"/>
          <w:szCs w:val="22"/>
        </w:rPr>
        <w:t>799</w:t>
      </w:r>
      <w:r w:rsidR="00B27576">
        <w:rPr>
          <w:bCs/>
          <w:sz w:val="22"/>
          <w:szCs w:val="22"/>
        </w:rPr>
        <w:t>,</w:t>
      </w:r>
      <w:r w:rsidR="0067136C">
        <w:rPr>
          <w:bCs/>
          <w:sz w:val="22"/>
          <w:szCs w:val="22"/>
        </w:rPr>
        <w:t>1</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67136C">
        <w:rPr>
          <w:bCs/>
          <w:sz w:val="22"/>
          <w:szCs w:val="22"/>
        </w:rPr>
        <w:t>83</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120BA6">
        <w:rPr>
          <w:bCs/>
          <w:sz w:val="22"/>
          <w:szCs w:val="22"/>
        </w:rPr>
        <w:t>7</w:t>
      </w:r>
      <w:r w:rsidR="0067136C">
        <w:rPr>
          <w:bCs/>
          <w:sz w:val="22"/>
          <w:szCs w:val="22"/>
        </w:rPr>
        <w:t>99</w:t>
      </w:r>
      <w:r w:rsidR="00A06778">
        <w:rPr>
          <w:bCs/>
          <w:sz w:val="22"/>
          <w:szCs w:val="22"/>
        </w:rPr>
        <w:t>,</w:t>
      </w:r>
      <w:r w:rsidR="0067136C">
        <w:rPr>
          <w:bCs/>
          <w:sz w:val="22"/>
          <w:szCs w:val="22"/>
        </w:rPr>
        <w:t>1</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67136C">
        <w:rPr>
          <w:bCs/>
          <w:sz w:val="22"/>
          <w:szCs w:val="22"/>
        </w:rPr>
        <w:t>83</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2" w:name="_MON_1396444715"/>
      <w:bookmarkEnd w:id="2"/>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1339EA" w:rsidRDefault="00120BA6" w:rsidP="00120BA6">
      <w:pPr>
        <w:tabs>
          <w:tab w:val="left" w:pos="1080"/>
        </w:tabs>
        <w:ind w:left="1080"/>
        <w:jc w:val="both"/>
        <w:rPr>
          <w:bCs/>
          <w:sz w:val="22"/>
          <w:szCs w:val="22"/>
        </w:rPr>
      </w:pPr>
      <w:r w:rsidRPr="00DA0496">
        <w:rPr>
          <w:bCs/>
          <w:sz w:val="22"/>
          <w:szCs w:val="22"/>
        </w:rPr>
        <w:t>The</w:t>
      </w:r>
      <w:r w:rsidR="001339EA">
        <w:rPr>
          <w:bCs/>
          <w:sz w:val="22"/>
          <w:szCs w:val="22"/>
        </w:rPr>
        <w:t xml:space="preserve"> Board of Directors has recommended a final single tier system of dividend of 5% or 5 </w:t>
      </w:r>
      <w:proofErr w:type="spellStart"/>
      <w:r w:rsidR="001339EA">
        <w:rPr>
          <w:bCs/>
          <w:sz w:val="22"/>
          <w:szCs w:val="22"/>
        </w:rPr>
        <w:t>sen</w:t>
      </w:r>
      <w:proofErr w:type="spellEnd"/>
      <w:r w:rsidR="001339EA">
        <w:rPr>
          <w:bCs/>
          <w:sz w:val="22"/>
          <w:szCs w:val="22"/>
        </w:rPr>
        <w:t xml:space="preserve"> per share and a special single tier system of dividend of 2% or 2 </w:t>
      </w:r>
      <w:proofErr w:type="spellStart"/>
      <w:r w:rsidR="001339EA">
        <w:rPr>
          <w:bCs/>
          <w:sz w:val="22"/>
          <w:szCs w:val="22"/>
        </w:rPr>
        <w:t>sen</w:t>
      </w:r>
      <w:proofErr w:type="spellEnd"/>
      <w:r w:rsidR="001339EA">
        <w:rPr>
          <w:bCs/>
          <w:sz w:val="22"/>
          <w:szCs w:val="22"/>
        </w:rPr>
        <w:t xml:space="preserve"> per share for the financial year ended 2013 which are subject to the approval of the shareholders in the forthcoming annual general meeting.</w:t>
      </w:r>
    </w:p>
    <w:p w:rsidR="001339EA" w:rsidRDefault="001339EA" w:rsidP="00120BA6">
      <w:pPr>
        <w:tabs>
          <w:tab w:val="left" w:pos="1080"/>
        </w:tabs>
        <w:ind w:left="1080"/>
        <w:jc w:val="both"/>
        <w:rPr>
          <w:bCs/>
          <w:sz w:val="22"/>
          <w:szCs w:val="22"/>
        </w:rPr>
      </w:pPr>
    </w:p>
    <w:p w:rsidR="00120BA6" w:rsidRPr="00DA0496" w:rsidRDefault="001339EA" w:rsidP="00120BA6">
      <w:pPr>
        <w:tabs>
          <w:tab w:val="left" w:pos="1080"/>
        </w:tabs>
        <w:ind w:left="1080"/>
        <w:jc w:val="both"/>
        <w:rPr>
          <w:bCs/>
          <w:sz w:val="22"/>
          <w:szCs w:val="22"/>
        </w:rPr>
      </w:pPr>
      <w:r>
        <w:rPr>
          <w:bCs/>
          <w:sz w:val="22"/>
          <w:szCs w:val="22"/>
        </w:rPr>
        <w:t>The recommendation complies with the Group’s dividend policy</w:t>
      </w:r>
      <w:r w:rsidR="0067136C">
        <w:rPr>
          <w:bCs/>
          <w:sz w:val="22"/>
          <w:szCs w:val="22"/>
        </w:rPr>
        <w:t>.</w:t>
      </w:r>
      <w:r w:rsidR="00120BA6" w:rsidRPr="00DA0496">
        <w:rPr>
          <w:bCs/>
          <w:sz w:val="22"/>
          <w:szCs w:val="22"/>
        </w:rPr>
        <w:t xml:space="preserve"> </w:t>
      </w:r>
    </w:p>
    <w:p w:rsidR="00120BA6" w:rsidRDefault="00120BA6" w:rsidP="00120BA6">
      <w:pPr>
        <w:tabs>
          <w:tab w:val="left" w:pos="1080"/>
        </w:tabs>
        <w:jc w:val="both"/>
        <w:rPr>
          <w:bCs/>
          <w:sz w:val="22"/>
          <w:szCs w:val="22"/>
        </w:rPr>
      </w:pPr>
      <w:r w:rsidRPr="00DA0496">
        <w:rPr>
          <w:bCs/>
          <w:sz w:val="22"/>
          <w:szCs w:val="22"/>
        </w:rPr>
        <w:t xml:space="preserve"> </w:t>
      </w: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Default="001A2E7D" w:rsidP="00120BA6">
      <w:pPr>
        <w:tabs>
          <w:tab w:val="left" w:pos="1080"/>
        </w:tabs>
        <w:jc w:val="both"/>
        <w:rPr>
          <w:bCs/>
          <w:sz w:val="22"/>
          <w:szCs w:val="22"/>
        </w:rPr>
      </w:pPr>
    </w:p>
    <w:p w:rsidR="001A2E7D" w:rsidRPr="00DA0496" w:rsidRDefault="001A2E7D" w:rsidP="00120BA6">
      <w:pPr>
        <w:tabs>
          <w:tab w:val="left" w:pos="1080"/>
        </w:tabs>
        <w:jc w:val="both"/>
        <w:rPr>
          <w:bCs/>
          <w:sz w:val="22"/>
          <w:szCs w:val="22"/>
        </w:rPr>
      </w:pPr>
    </w:p>
    <w:p w:rsidR="006F2734" w:rsidRDefault="006F2734"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9F4C12" w:rsidRDefault="009F4C12" w:rsidP="006F2734">
      <w:pPr>
        <w:tabs>
          <w:tab w:val="left" w:pos="1080"/>
        </w:tabs>
        <w:ind w:left="1080"/>
        <w:jc w:val="both"/>
        <w:rPr>
          <w:b/>
          <w:bCs/>
          <w:sz w:val="22"/>
          <w:szCs w:val="22"/>
        </w:rPr>
      </w:pPr>
    </w:p>
    <w:bookmarkStart w:id="3" w:name="_MON_1396444837"/>
    <w:bookmarkEnd w:id="3"/>
    <w:p w:rsidR="00643BD5" w:rsidRPr="006E611C" w:rsidRDefault="001A2E7D" w:rsidP="006F2734">
      <w:pPr>
        <w:tabs>
          <w:tab w:val="left" w:pos="1080"/>
        </w:tabs>
        <w:ind w:left="1080"/>
        <w:jc w:val="both"/>
        <w:rPr>
          <w:b/>
          <w:bCs/>
          <w:sz w:val="22"/>
          <w:szCs w:val="22"/>
        </w:rPr>
      </w:pPr>
      <w:r w:rsidRPr="006E611C">
        <w:rPr>
          <w:b/>
          <w:bCs/>
          <w:sz w:val="22"/>
          <w:szCs w:val="22"/>
        </w:rPr>
        <w:object w:dxaOrig="8824" w:dyaOrig="3349">
          <v:shape id="_x0000_i1026" type="#_x0000_t75" style="width:431.3pt;height:164.4pt" o:ole="" fillcolor="window">
            <v:imagedata r:id="rId10" o:title=""/>
          </v:shape>
          <o:OLEObject Type="Embed" ProgID="Excel.Sheet.8" ShapeID="_x0000_i1026" DrawAspect="Content" ObjectID="_1454481476" r:id="rId11"/>
        </w:object>
      </w:r>
      <w:r w:rsidR="00643BD5" w:rsidRPr="006E611C">
        <w:rPr>
          <w:b/>
          <w:bCs/>
          <w:sz w:val="22"/>
          <w:szCs w:val="22"/>
        </w:rPr>
        <w:t xml:space="preserve">   </w:t>
      </w: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4" w:name="_MON_1396709312"/>
      <w:bookmarkStart w:id="5" w:name="_MON_1396772729"/>
      <w:bookmarkStart w:id="6" w:name="_MON_1396773492"/>
      <w:bookmarkStart w:id="7" w:name="_MON_1396773887"/>
      <w:bookmarkStart w:id="8" w:name="_MON_1396773964"/>
      <w:bookmarkStart w:id="9" w:name="_MON_1396774054"/>
      <w:bookmarkStart w:id="10" w:name="_MON_1396779710"/>
      <w:bookmarkStart w:id="11" w:name="_MON_1396709353"/>
      <w:bookmarkStart w:id="12" w:name="_MON_1396939771"/>
      <w:bookmarkEnd w:id="4"/>
      <w:bookmarkEnd w:id="5"/>
      <w:bookmarkEnd w:id="6"/>
      <w:bookmarkEnd w:id="7"/>
      <w:bookmarkEnd w:id="8"/>
      <w:bookmarkEnd w:id="9"/>
      <w:bookmarkEnd w:id="10"/>
      <w:bookmarkEnd w:id="11"/>
      <w:bookmarkEnd w:id="12"/>
      <w:bookmarkStart w:id="13" w:name="_MON_1396709441"/>
      <w:bookmarkEnd w:id="13"/>
      <w:r w:rsidR="001339EA" w:rsidRPr="00A97611">
        <w:rPr>
          <w:b/>
          <w:bCs/>
          <w:sz w:val="22"/>
          <w:szCs w:val="22"/>
        </w:rPr>
        <w:object w:dxaOrig="7075" w:dyaOrig="5109">
          <v:shape id="_x0000_i1027" type="#_x0000_t75" style="width:362.7pt;height:255.4pt" o:ole="">
            <v:imagedata r:id="rId12" o:title=""/>
          </v:shape>
          <o:OLEObject Type="Embed" ProgID="Excel.Sheet.12" ShapeID="_x0000_i1027" DrawAspect="Content" ObjectID="_1454481477" r:id="rId13"/>
        </w:object>
      </w:r>
    </w:p>
    <w:p w:rsidR="006F0E41" w:rsidRDefault="006F0E41"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4" w:name="_MON_1396445306"/>
      <w:bookmarkStart w:id="15" w:name="_MON_1396445379"/>
      <w:bookmarkEnd w:id="14"/>
      <w:bookmarkEnd w:id="15"/>
      <w:bookmarkStart w:id="16" w:name="_MON_1396781848"/>
      <w:bookmarkEnd w:id="16"/>
      <w:r w:rsidR="001339EA" w:rsidRPr="006E611C">
        <w:rPr>
          <w:b/>
          <w:bCs/>
          <w:sz w:val="22"/>
          <w:szCs w:val="22"/>
        </w:rPr>
        <w:object w:dxaOrig="8256" w:dyaOrig="4406">
          <v:shape id="_x0000_i1028" type="#_x0000_t75" style="width:404.85pt;height:215.3pt" o:ole="" fillcolor="window">
            <v:imagedata r:id="rId14" o:title=""/>
          </v:shape>
          <o:OLEObject Type="Embed" ProgID="Excel.Sheet.8" ShapeID="_x0000_i1028" DrawAspect="Content" ObjectID="_1454481478" r:id="rId15"/>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 xml:space="preserve">Chen, </w:t>
      </w:r>
      <w:r w:rsidR="001339EA">
        <w:rPr>
          <w:sz w:val="22"/>
          <w:szCs w:val="22"/>
        </w:rPr>
        <w:t>Chung</w:t>
      </w:r>
      <w:r w:rsidR="007A0816">
        <w:rPr>
          <w:sz w:val="22"/>
          <w:szCs w:val="22"/>
        </w:rPr>
        <w:t>-</w:t>
      </w:r>
      <w:r w:rsidR="001339EA">
        <w:rPr>
          <w:sz w:val="22"/>
          <w:szCs w:val="22"/>
        </w:rPr>
        <w:t>Te</w:t>
      </w:r>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101FBE" w:rsidP="00B27576">
      <w:pPr>
        <w:tabs>
          <w:tab w:val="left" w:pos="1080"/>
        </w:tabs>
        <w:ind w:left="1080" w:hanging="720"/>
        <w:jc w:val="both"/>
        <w:rPr>
          <w:sz w:val="22"/>
          <w:szCs w:val="22"/>
        </w:rPr>
      </w:pPr>
      <w:r>
        <w:rPr>
          <w:sz w:val="22"/>
          <w:szCs w:val="22"/>
        </w:rPr>
        <w:t>2</w:t>
      </w:r>
      <w:r w:rsidR="00915523">
        <w:rPr>
          <w:sz w:val="22"/>
          <w:szCs w:val="22"/>
        </w:rPr>
        <w:t>1</w:t>
      </w:r>
      <w:bookmarkStart w:id="17" w:name="_GoBack"/>
      <w:bookmarkEnd w:id="17"/>
      <w:r>
        <w:rPr>
          <w:sz w:val="22"/>
          <w:szCs w:val="22"/>
        </w:rPr>
        <w:t xml:space="preserve"> February</w:t>
      </w:r>
      <w:r w:rsidR="006C48A2">
        <w:rPr>
          <w:sz w:val="22"/>
          <w:szCs w:val="22"/>
        </w:rPr>
        <w:t xml:space="preserve"> </w:t>
      </w:r>
      <w:r w:rsidR="005249A5" w:rsidRPr="006E611C">
        <w:rPr>
          <w:sz w:val="22"/>
          <w:szCs w:val="22"/>
        </w:rPr>
        <w:t>201</w:t>
      </w:r>
      <w:r>
        <w:rPr>
          <w:sz w:val="22"/>
          <w:szCs w:val="22"/>
        </w:rPr>
        <w:t>4</w:t>
      </w:r>
    </w:p>
    <w:p w:rsidR="00946542" w:rsidRPr="00946542" w:rsidRDefault="00946542" w:rsidP="00946542">
      <w:pPr>
        <w:rPr>
          <w:sz w:val="22"/>
          <w:szCs w:val="22"/>
        </w:rPr>
      </w:pPr>
    </w:p>
    <w:p w:rsidR="00946542" w:rsidRDefault="00946542" w:rsidP="00946542">
      <w:pPr>
        <w:rPr>
          <w:sz w:val="22"/>
          <w:szCs w:val="22"/>
        </w:rPr>
      </w:pPr>
    </w:p>
    <w:p w:rsidR="00643BD5" w:rsidRPr="00946542" w:rsidRDefault="00946542" w:rsidP="00946542">
      <w:pPr>
        <w:tabs>
          <w:tab w:val="left" w:pos="1685"/>
        </w:tabs>
        <w:rPr>
          <w:sz w:val="22"/>
          <w:szCs w:val="22"/>
        </w:rPr>
      </w:pPr>
      <w:r>
        <w:rPr>
          <w:sz w:val="22"/>
          <w:szCs w:val="22"/>
        </w:rPr>
        <w:tab/>
      </w:r>
    </w:p>
    <w:sectPr w:rsidR="00643BD5" w:rsidRPr="00946542" w:rsidSect="00C87881">
      <w:headerReference w:type="default" r:id="rId16"/>
      <w:footerReference w:type="even" r:id="rId17"/>
      <w:footerReference w:type="default" r:id="rId18"/>
      <w:pgSz w:w="11909" w:h="16834" w:code="9"/>
      <w:pgMar w:top="1800" w:right="1080" w:bottom="900" w:left="720" w:header="720" w:footer="6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EE" w:rsidRDefault="00491CEE">
      <w:r>
        <w:separator/>
      </w:r>
    </w:p>
  </w:endnote>
  <w:endnote w:type="continuationSeparator" w:id="0">
    <w:p w:rsidR="00491CEE" w:rsidRDefault="004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3C79B2"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3C79B2"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915523">
      <w:rPr>
        <w:rStyle w:val="PageNumber"/>
        <w:noProof/>
      </w:rPr>
      <w:t>8</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EE" w:rsidRDefault="00491CEE">
      <w:r>
        <w:separator/>
      </w:r>
    </w:p>
  </w:footnote>
  <w:footnote w:type="continuationSeparator" w:id="0">
    <w:p w:rsidR="00491CEE" w:rsidRDefault="0049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9C5C23">
      <w:rPr>
        <w:rFonts w:ascii="Arial" w:hAnsi="Arial" w:cs="Arial"/>
        <w:b/>
        <w:bCs/>
        <w:sz w:val="22"/>
        <w:szCs w:val="22"/>
      </w:rPr>
      <w:t>Twelve</w:t>
    </w:r>
    <w:r>
      <w:rPr>
        <w:rFonts w:ascii="Arial" w:hAnsi="Arial" w:cs="Arial"/>
        <w:b/>
        <w:bCs/>
        <w:sz w:val="22"/>
        <w:szCs w:val="22"/>
      </w:rPr>
      <w:t xml:space="preserve"> Months Ended </w:t>
    </w:r>
    <w:r w:rsidR="007E2EB6">
      <w:rPr>
        <w:rFonts w:ascii="Arial" w:hAnsi="Arial" w:cs="Arial"/>
        <w:b/>
        <w:bCs/>
        <w:sz w:val="22"/>
        <w:szCs w:val="22"/>
      </w:rPr>
      <w:t>3</w:t>
    </w:r>
    <w:r w:rsidR="009C5C23">
      <w:rPr>
        <w:rFonts w:ascii="Arial" w:hAnsi="Arial" w:cs="Arial"/>
        <w:b/>
        <w:bCs/>
        <w:sz w:val="22"/>
        <w:szCs w:val="22"/>
      </w:rPr>
      <w:t>1 Dec</w:t>
    </w:r>
    <w:r w:rsidR="00037950">
      <w:rPr>
        <w:rFonts w:ascii="Arial" w:hAnsi="Arial" w:cs="Arial"/>
        <w:b/>
        <w:bCs/>
        <w:sz w:val="22"/>
        <w:szCs w:val="22"/>
      </w:rPr>
      <w:t>ember</w:t>
    </w:r>
    <w:r w:rsidR="007562DB">
      <w:rPr>
        <w:rFonts w:ascii="Arial" w:hAnsi="Arial" w:cs="Arial"/>
        <w:b/>
        <w:bCs/>
        <w:sz w:val="22"/>
        <w:szCs w:val="22"/>
      </w:rPr>
      <w:t xml:space="preserve"> 201</w:t>
    </w:r>
    <w:r w:rsidR="006743DF">
      <w:rPr>
        <w:rFonts w:ascii="Arial" w:hAnsi="Arial" w:cs="Arial"/>
        <w:b/>
        <w:bCs/>
        <w:sz w:val="22"/>
        <w:szCs w:val="22"/>
      </w:rPr>
      <w:t>3</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37950"/>
    <w:rsid w:val="0004024B"/>
    <w:rsid w:val="00040B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5F3A"/>
    <w:rsid w:val="00066B58"/>
    <w:rsid w:val="00066ED3"/>
    <w:rsid w:val="00067E58"/>
    <w:rsid w:val="0007104E"/>
    <w:rsid w:val="00071179"/>
    <w:rsid w:val="00071310"/>
    <w:rsid w:val="00075C29"/>
    <w:rsid w:val="00076BD2"/>
    <w:rsid w:val="0008024C"/>
    <w:rsid w:val="00080C1C"/>
    <w:rsid w:val="0008319C"/>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B0E1E"/>
    <w:rsid w:val="000B2886"/>
    <w:rsid w:val="000B3D1A"/>
    <w:rsid w:val="000B48F9"/>
    <w:rsid w:val="000B59C0"/>
    <w:rsid w:val="000B5D0D"/>
    <w:rsid w:val="000B63EB"/>
    <w:rsid w:val="000B6EF9"/>
    <w:rsid w:val="000B7C80"/>
    <w:rsid w:val="000C06D6"/>
    <w:rsid w:val="000C4994"/>
    <w:rsid w:val="000C4A21"/>
    <w:rsid w:val="000C6008"/>
    <w:rsid w:val="000D0977"/>
    <w:rsid w:val="000D0BA2"/>
    <w:rsid w:val="000E11E6"/>
    <w:rsid w:val="000E1B5F"/>
    <w:rsid w:val="000E2122"/>
    <w:rsid w:val="000E3550"/>
    <w:rsid w:val="000E3781"/>
    <w:rsid w:val="000E3B91"/>
    <w:rsid w:val="000E4F2A"/>
    <w:rsid w:val="000E629A"/>
    <w:rsid w:val="000E64D8"/>
    <w:rsid w:val="000F0C2F"/>
    <w:rsid w:val="000F508D"/>
    <w:rsid w:val="000F5095"/>
    <w:rsid w:val="000F5DCE"/>
    <w:rsid w:val="000F6F17"/>
    <w:rsid w:val="00100DF1"/>
    <w:rsid w:val="00101FBE"/>
    <w:rsid w:val="001021FA"/>
    <w:rsid w:val="001022D3"/>
    <w:rsid w:val="001111DB"/>
    <w:rsid w:val="00111DA6"/>
    <w:rsid w:val="0011202A"/>
    <w:rsid w:val="00113372"/>
    <w:rsid w:val="001137ED"/>
    <w:rsid w:val="00114710"/>
    <w:rsid w:val="0011676D"/>
    <w:rsid w:val="001167D8"/>
    <w:rsid w:val="001168F1"/>
    <w:rsid w:val="001179CC"/>
    <w:rsid w:val="00120919"/>
    <w:rsid w:val="00120BA6"/>
    <w:rsid w:val="0012149F"/>
    <w:rsid w:val="0012408A"/>
    <w:rsid w:val="001241DA"/>
    <w:rsid w:val="00126C98"/>
    <w:rsid w:val="00127752"/>
    <w:rsid w:val="00132FF1"/>
    <w:rsid w:val="00133210"/>
    <w:rsid w:val="0013351C"/>
    <w:rsid w:val="001339EA"/>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3D17"/>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2E7D"/>
    <w:rsid w:val="001A6499"/>
    <w:rsid w:val="001B1273"/>
    <w:rsid w:val="001B19D0"/>
    <w:rsid w:val="001B1A43"/>
    <w:rsid w:val="001B20D3"/>
    <w:rsid w:val="001B2C49"/>
    <w:rsid w:val="001B35F5"/>
    <w:rsid w:val="001B3DFD"/>
    <w:rsid w:val="001B4699"/>
    <w:rsid w:val="001B742B"/>
    <w:rsid w:val="001B7482"/>
    <w:rsid w:val="001C0E72"/>
    <w:rsid w:val="001C191E"/>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43F4"/>
    <w:rsid w:val="001F5046"/>
    <w:rsid w:val="001F64CA"/>
    <w:rsid w:val="001F6D82"/>
    <w:rsid w:val="001F73EE"/>
    <w:rsid w:val="001F796C"/>
    <w:rsid w:val="00201FD0"/>
    <w:rsid w:val="00202EBE"/>
    <w:rsid w:val="00205F35"/>
    <w:rsid w:val="0021011E"/>
    <w:rsid w:val="00211A23"/>
    <w:rsid w:val="00213467"/>
    <w:rsid w:val="00215D33"/>
    <w:rsid w:val="00216203"/>
    <w:rsid w:val="00221E62"/>
    <w:rsid w:val="002221C3"/>
    <w:rsid w:val="00222286"/>
    <w:rsid w:val="00223AD9"/>
    <w:rsid w:val="0022446F"/>
    <w:rsid w:val="00224D4B"/>
    <w:rsid w:val="00225BF3"/>
    <w:rsid w:val="0022702D"/>
    <w:rsid w:val="0023132F"/>
    <w:rsid w:val="00231F9A"/>
    <w:rsid w:val="00235010"/>
    <w:rsid w:val="00235C56"/>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56D7E"/>
    <w:rsid w:val="0026105A"/>
    <w:rsid w:val="002611A3"/>
    <w:rsid w:val="00261319"/>
    <w:rsid w:val="00262B29"/>
    <w:rsid w:val="00263325"/>
    <w:rsid w:val="00264BBB"/>
    <w:rsid w:val="002653F3"/>
    <w:rsid w:val="002655BF"/>
    <w:rsid w:val="00265650"/>
    <w:rsid w:val="00266ABD"/>
    <w:rsid w:val="002718D8"/>
    <w:rsid w:val="00274A61"/>
    <w:rsid w:val="002779ED"/>
    <w:rsid w:val="00280344"/>
    <w:rsid w:val="00281594"/>
    <w:rsid w:val="00281CF0"/>
    <w:rsid w:val="0028273C"/>
    <w:rsid w:val="00282A0C"/>
    <w:rsid w:val="00282C90"/>
    <w:rsid w:val="00284078"/>
    <w:rsid w:val="00284BE2"/>
    <w:rsid w:val="002859B7"/>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FDF"/>
    <w:rsid w:val="002B33D3"/>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3BEA"/>
    <w:rsid w:val="002E3D34"/>
    <w:rsid w:val="002E3EA6"/>
    <w:rsid w:val="002E5DE0"/>
    <w:rsid w:val="002E7366"/>
    <w:rsid w:val="002F031D"/>
    <w:rsid w:val="002F0EC9"/>
    <w:rsid w:val="002F1CB3"/>
    <w:rsid w:val="002F1EC9"/>
    <w:rsid w:val="002F35A3"/>
    <w:rsid w:val="002F373C"/>
    <w:rsid w:val="002F4018"/>
    <w:rsid w:val="002F582F"/>
    <w:rsid w:val="002F5F61"/>
    <w:rsid w:val="002F69FB"/>
    <w:rsid w:val="002F7AA6"/>
    <w:rsid w:val="00301EED"/>
    <w:rsid w:val="003022AE"/>
    <w:rsid w:val="003038BB"/>
    <w:rsid w:val="00303EF2"/>
    <w:rsid w:val="00305369"/>
    <w:rsid w:val="00306E0E"/>
    <w:rsid w:val="00310C65"/>
    <w:rsid w:val="00311B74"/>
    <w:rsid w:val="003126AC"/>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739E"/>
    <w:rsid w:val="0034797F"/>
    <w:rsid w:val="00350347"/>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036E"/>
    <w:rsid w:val="00391F32"/>
    <w:rsid w:val="00393B27"/>
    <w:rsid w:val="003940DD"/>
    <w:rsid w:val="0039765B"/>
    <w:rsid w:val="003A069E"/>
    <w:rsid w:val="003A0FAF"/>
    <w:rsid w:val="003A38E1"/>
    <w:rsid w:val="003A407F"/>
    <w:rsid w:val="003A5826"/>
    <w:rsid w:val="003A62E5"/>
    <w:rsid w:val="003A7B78"/>
    <w:rsid w:val="003A7DE4"/>
    <w:rsid w:val="003B0D08"/>
    <w:rsid w:val="003B1EB6"/>
    <w:rsid w:val="003B27E3"/>
    <w:rsid w:val="003B28E2"/>
    <w:rsid w:val="003C10CF"/>
    <w:rsid w:val="003C11DB"/>
    <w:rsid w:val="003C1BD7"/>
    <w:rsid w:val="003C3058"/>
    <w:rsid w:val="003C359C"/>
    <w:rsid w:val="003C3B6A"/>
    <w:rsid w:val="003C53B8"/>
    <w:rsid w:val="003C6770"/>
    <w:rsid w:val="003C79B2"/>
    <w:rsid w:val="003C7BBA"/>
    <w:rsid w:val="003D4566"/>
    <w:rsid w:val="003D6DAF"/>
    <w:rsid w:val="003E29F5"/>
    <w:rsid w:val="003E3BD5"/>
    <w:rsid w:val="003E45F5"/>
    <w:rsid w:val="003E4D30"/>
    <w:rsid w:val="003E5159"/>
    <w:rsid w:val="003E5681"/>
    <w:rsid w:val="003E5784"/>
    <w:rsid w:val="003E6A6B"/>
    <w:rsid w:val="003E6FFD"/>
    <w:rsid w:val="003F1232"/>
    <w:rsid w:val="003F1B3F"/>
    <w:rsid w:val="003F1BBF"/>
    <w:rsid w:val="003F24F0"/>
    <w:rsid w:val="003F481B"/>
    <w:rsid w:val="003F6C76"/>
    <w:rsid w:val="003F7487"/>
    <w:rsid w:val="004036B0"/>
    <w:rsid w:val="004079CD"/>
    <w:rsid w:val="00410A5A"/>
    <w:rsid w:val="004121A5"/>
    <w:rsid w:val="004128BE"/>
    <w:rsid w:val="004137A2"/>
    <w:rsid w:val="00413932"/>
    <w:rsid w:val="00414CB0"/>
    <w:rsid w:val="0041569E"/>
    <w:rsid w:val="00417265"/>
    <w:rsid w:val="00420828"/>
    <w:rsid w:val="00420A18"/>
    <w:rsid w:val="004210D4"/>
    <w:rsid w:val="00422E99"/>
    <w:rsid w:val="00424159"/>
    <w:rsid w:val="00424A87"/>
    <w:rsid w:val="004258FD"/>
    <w:rsid w:val="0043547B"/>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1539"/>
    <w:rsid w:val="00461582"/>
    <w:rsid w:val="004643FE"/>
    <w:rsid w:val="00464C13"/>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1CEE"/>
    <w:rsid w:val="00492ACC"/>
    <w:rsid w:val="00492B7C"/>
    <w:rsid w:val="00492C73"/>
    <w:rsid w:val="004930E6"/>
    <w:rsid w:val="00495714"/>
    <w:rsid w:val="004957E2"/>
    <w:rsid w:val="004959D0"/>
    <w:rsid w:val="00496B42"/>
    <w:rsid w:val="004A1192"/>
    <w:rsid w:val="004A246E"/>
    <w:rsid w:val="004A2494"/>
    <w:rsid w:val="004A2A35"/>
    <w:rsid w:val="004A455E"/>
    <w:rsid w:val="004A5D67"/>
    <w:rsid w:val="004A7788"/>
    <w:rsid w:val="004B235B"/>
    <w:rsid w:val="004B3AEB"/>
    <w:rsid w:val="004B4C55"/>
    <w:rsid w:val="004B5B96"/>
    <w:rsid w:val="004B6E94"/>
    <w:rsid w:val="004C012E"/>
    <w:rsid w:val="004C3A44"/>
    <w:rsid w:val="004C5958"/>
    <w:rsid w:val="004C7594"/>
    <w:rsid w:val="004C7922"/>
    <w:rsid w:val="004D0782"/>
    <w:rsid w:val="004D30B7"/>
    <w:rsid w:val="004D6E06"/>
    <w:rsid w:val="004D7A1C"/>
    <w:rsid w:val="004E0883"/>
    <w:rsid w:val="004E16D3"/>
    <w:rsid w:val="004E19EC"/>
    <w:rsid w:val="004E2CCC"/>
    <w:rsid w:val="004E4BC1"/>
    <w:rsid w:val="004E60E3"/>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03DF1"/>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F44"/>
    <w:rsid w:val="005A0846"/>
    <w:rsid w:val="005A159A"/>
    <w:rsid w:val="005A2B1E"/>
    <w:rsid w:val="005A3150"/>
    <w:rsid w:val="005A3D6E"/>
    <w:rsid w:val="005A671B"/>
    <w:rsid w:val="005A7095"/>
    <w:rsid w:val="005A72CA"/>
    <w:rsid w:val="005A7840"/>
    <w:rsid w:val="005A7A43"/>
    <w:rsid w:val="005B17AB"/>
    <w:rsid w:val="005B37F4"/>
    <w:rsid w:val="005B43EF"/>
    <w:rsid w:val="005B446E"/>
    <w:rsid w:val="005B45A4"/>
    <w:rsid w:val="005B4625"/>
    <w:rsid w:val="005B67C6"/>
    <w:rsid w:val="005C0812"/>
    <w:rsid w:val="005C21F4"/>
    <w:rsid w:val="005C3825"/>
    <w:rsid w:val="005C41F4"/>
    <w:rsid w:val="005C5C5B"/>
    <w:rsid w:val="005C612C"/>
    <w:rsid w:val="005C68E9"/>
    <w:rsid w:val="005C735C"/>
    <w:rsid w:val="005C78E2"/>
    <w:rsid w:val="005D010D"/>
    <w:rsid w:val="005D1204"/>
    <w:rsid w:val="005D2711"/>
    <w:rsid w:val="005D5186"/>
    <w:rsid w:val="005E0047"/>
    <w:rsid w:val="005E06C9"/>
    <w:rsid w:val="005E10A6"/>
    <w:rsid w:val="005E1524"/>
    <w:rsid w:val="005E1C79"/>
    <w:rsid w:val="005E3720"/>
    <w:rsid w:val="005E40FA"/>
    <w:rsid w:val="005E4211"/>
    <w:rsid w:val="005E4A14"/>
    <w:rsid w:val="005E56FA"/>
    <w:rsid w:val="005E5CDD"/>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20D92"/>
    <w:rsid w:val="00621E40"/>
    <w:rsid w:val="00624DB2"/>
    <w:rsid w:val="00624EEC"/>
    <w:rsid w:val="00624F77"/>
    <w:rsid w:val="0062527E"/>
    <w:rsid w:val="00630F5F"/>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79B"/>
    <w:rsid w:val="0066298E"/>
    <w:rsid w:val="00663AB8"/>
    <w:rsid w:val="00663B22"/>
    <w:rsid w:val="00665989"/>
    <w:rsid w:val="0066717A"/>
    <w:rsid w:val="00667E29"/>
    <w:rsid w:val="0067136C"/>
    <w:rsid w:val="0067237A"/>
    <w:rsid w:val="006723C3"/>
    <w:rsid w:val="0067324D"/>
    <w:rsid w:val="006743DF"/>
    <w:rsid w:val="00675FAF"/>
    <w:rsid w:val="00680E7D"/>
    <w:rsid w:val="006845AA"/>
    <w:rsid w:val="006845F7"/>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1F28"/>
    <w:rsid w:val="006B316A"/>
    <w:rsid w:val="006B4021"/>
    <w:rsid w:val="006B44D0"/>
    <w:rsid w:val="006B45F1"/>
    <w:rsid w:val="006B51AC"/>
    <w:rsid w:val="006B5965"/>
    <w:rsid w:val="006B696B"/>
    <w:rsid w:val="006C261C"/>
    <w:rsid w:val="006C2726"/>
    <w:rsid w:val="006C2E54"/>
    <w:rsid w:val="006C37F6"/>
    <w:rsid w:val="006C48A2"/>
    <w:rsid w:val="006C51A9"/>
    <w:rsid w:val="006C714B"/>
    <w:rsid w:val="006D059D"/>
    <w:rsid w:val="006D2165"/>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E03"/>
    <w:rsid w:val="007007A1"/>
    <w:rsid w:val="0070125A"/>
    <w:rsid w:val="00702CF1"/>
    <w:rsid w:val="007031B1"/>
    <w:rsid w:val="00703A83"/>
    <w:rsid w:val="007043E0"/>
    <w:rsid w:val="00704E63"/>
    <w:rsid w:val="00706EF9"/>
    <w:rsid w:val="00707929"/>
    <w:rsid w:val="00710DDE"/>
    <w:rsid w:val="007146CD"/>
    <w:rsid w:val="0071520F"/>
    <w:rsid w:val="00716B50"/>
    <w:rsid w:val="0072113B"/>
    <w:rsid w:val="00722B11"/>
    <w:rsid w:val="00723601"/>
    <w:rsid w:val="00723820"/>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637"/>
    <w:rsid w:val="00745F86"/>
    <w:rsid w:val="00746805"/>
    <w:rsid w:val="00746C15"/>
    <w:rsid w:val="00747672"/>
    <w:rsid w:val="00753EE1"/>
    <w:rsid w:val="00754480"/>
    <w:rsid w:val="00754E31"/>
    <w:rsid w:val="007562DB"/>
    <w:rsid w:val="00756403"/>
    <w:rsid w:val="00756650"/>
    <w:rsid w:val="00761F12"/>
    <w:rsid w:val="00762EED"/>
    <w:rsid w:val="00762F12"/>
    <w:rsid w:val="007663B9"/>
    <w:rsid w:val="007674FD"/>
    <w:rsid w:val="00770CC9"/>
    <w:rsid w:val="007711E5"/>
    <w:rsid w:val="007739D8"/>
    <w:rsid w:val="00774025"/>
    <w:rsid w:val="00774586"/>
    <w:rsid w:val="0077469D"/>
    <w:rsid w:val="0077473A"/>
    <w:rsid w:val="007752AE"/>
    <w:rsid w:val="00775696"/>
    <w:rsid w:val="00777EA0"/>
    <w:rsid w:val="00781B22"/>
    <w:rsid w:val="00782470"/>
    <w:rsid w:val="00782715"/>
    <w:rsid w:val="00782E6F"/>
    <w:rsid w:val="00784596"/>
    <w:rsid w:val="0078493B"/>
    <w:rsid w:val="007873AA"/>
    <w:rsid w:val="00787D3E"/>
    <w:rsid w:val="007904AD"/>
    <w:rsid w:val="0079241A"/>
    <w:rsid w:val="00793B03"/>
    <w:rsid w:val="0079582C"/>
    <w:rsid w:val="00795EE1"/>
    <w:rsid w:val="00795F3B"/>
    <w:rsid w:val="007A0816"/>
    <w:rsid w:val="007A0915"/>
    <w:rsid w:val="007A18C7"/>
    <w:rsid w:val="007A3A47"/>
    <w:rsid w:val="007A6565"/>
    <w:rsid w:val="007B5823"/>
    <w:rsid w:val="007B6F92"/>
    <w:rsid w:val="007B7018"/>
    <w:rsid w:val="007B75DD"/>
    <w:rsid w:val="007C1606"/>
    <w:rsid w:val="007C16B8"/>
    <w:rsid w:val="007C26DD"/>
    <w:rsid w:val="007C3759"/>
    <w:rsid w:val="007C4C48"/>
    <w:rsid w:val="007C6CA3"/>
    <w:rsid w:val="007C780F"/>
    <w:rsid w:val="007D4154"/>
    <w:rsid w:val="007D6B08"/>
    <w:rsid w:val="007D6C86"/>
    <w:rsid w:val="007E1614"/>
    <w:rsid w:val="007E19AA"/>
    <w:rsid w:val="007E2293"/>
    <w:rsid w:val="007E2EB6"/>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5280"/>
    <w:rsid w:val="00856583"/>
    <w:rsid w:val="008565E8"/>
    <w:rsid w:val="00860F3F"/>
    <w:rsid w:val="008615D2"/>
    <w:rsid w:val="0086160E"/>
    <w:rsid w:val="00862774"/>
    <w:rsid w:val="00862ADB"/>
    <w:rsid w:val="00863730"/>
    <w:rsid w:val="008637C6"/>
    <w:rsid w:val="0087072E"/>
    <w:rsid w:val="0087129D"/>
    <w:rsid w:val="00871CCA"/>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506B"/>
    <w:rsid w:val="008C5F53"/>
    <w:rsid w:val="008C6220"/>
    <w:rsid w:val="008C6416"/>
    <w:rsid w:val="008D1AB0"/>
    <w:rsid w:val="008D1BBB"/>
    <w:rsid w:val="008D1F8C"/>
    <w:rsid w:val="008D3545"/>
    <w:rsid w:val="008D4986"/>
    <w:rsid w:val="008D4A71"/>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36F3"/>
    <w:rsid w:val="00903E2B"/>
    <w:rsid w:val="00904C64"/>
    <w:rsid w:val="00906436"/>
    <w:rsid w:val="0091084B"/>
    <w:rsid w:val="00911183"/>
    <w:rsid w:val="0091400D"/>
    <w:rsid w:val="00914E1C"/>
    <w:rsid w:val="0091538E"/>
    <w:rsid w:val="00915523"/>
    <w:rsid w:val="0091779D"/>
    <w:rsid w:val="009221D0"/>
    <w:rsid w:val="00925371"/>
    <w:rsid w:val="00925884"/>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DEF"/>
    <w:rsid w:val="00946542"/>
    <w:rsid w:val="0094698D"/>
    <w:rsid w:val="00950797"/>
    <w:rsid w:val="00950EDD"/>
    <w:rsid w:val="00952A16"/>
    <w:rsid w:val="00953DEE"/>
    <w:rsid w:val="0095425F"/>
    <w:rsid w:val="00955D8A"/>
    <w:rsid w:val="00957DA3"/>
    <w:rsid w:val="009602E5"/>
    <w:rsid w:val="00960EE8"/>
    <w:rsid w:val="00961E6F"/>
    <w:rsid w:val="00962C84"/>
    <w:rsid w:val="00964EBE"/>
    <w:rsid w:val="00965D17"/>
    <w:rsid w:val="00967958"/>
    <w:rsid w:val="009735C1"/>
    <w:rsid w:val="009746DB"/>
    <w:rsid w:val="00975047"/>
    <w:rsid w:val="00975743"/>
    <w:rsid w:val="009760F7"/>
    <w:rsid w:val="00976FAE"/>
    <w:rsid w:val="0098142C"/>
    <w:rsid w:val="0098396B"/>
    <w:rsid w:val="00983ACA"/>
    <w:rsid w:val="009843CD"/>
    <w:rsid w:val="00986915"/>
    <w:rsid w:val="009902FA"/>
    <w:rsid w:val="009914CC"/>
    <w:rsid w:val="00991E0F"/>
    <w:rsid w:val="00995E20"/>
    <w:rsid w:val="00996F59"/>
    <w:rsid w:val="00997C13"/>
    <w:rsid w:val="009A2A07"/>
    <w:rsid w:val="009A3AF6"/>
    <w:rsid w:val="009A60D5"/>
    <w:rsid w:val="009A60EF"/>
    <w:rsid w:val="009A6C43"/>
    <w:rsid w:val="009A6E2B"/>
    <w:rsid w:val="009B1D74"/>
    <w:rsid w:val="009B2E76"/>
    <w:rsid w:val="009B3AAF"/>
    <w:rsid w:val="009B5781"/>
    <w:rsid w:val="009B6A30"/>
    <w:rsid w:val="009C0850"/>
    <w:rsid w:val="009C1723"/>
    <w:rsid w:val="009C226B"/>
    <w:rsid w:val="009C4FAE"/>
    <w:rsid w:val="009C51E2"/>
    <w:rsid w:val="009C5C23"/>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C12"/>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08B"/>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1428"/>
    <w:rsid w:val="00A74D1F"/>
    <w:rsid w:val="00A76473"/>
    <w:rsid w:val="00A769AA"/>
    <w:rsid w:val="00A774F2"/>
    <w:rsid w:val="00A77F81"/>
    <w:rsid w:val="00A81E59"/>
    <w:rsid w:val="00A82FDF"/>
    <w:rsid w:val="00A84CBC"/>
    <w:rsid w:val="00A8538C"/>
    <w:rsid w:val="00A85D93"/>
    <w:rsid w:val="00A86DB6"/>
    <w:rsid w:val="00A87300"/>
    <w:rsid w:val="00A91154"/>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25"/>
    <w:rsid w:val="00B236C9"/>
    <w:rsid w:val="00B23BEF"/>
    <w:rsid w:val="00B242E6"/>
    <w:rsid w:val="00B266CC"/>
    <w:rsid w:val="00B271A1"/>
    <w:rsid w:val="00B27576"/>
    <w:rsid w:val="00B31D52"/>
    <w:rsid w:val="00B34122"/>
    <w:rsid w:val="00B36208"/>
    <w:rsid w:val="00B36866"/>
    <w:rsid w:val="00B36C92"/>
    <w:rsid w:val="00B41853"/>
    <w:rsid w:val="00B41B24"/>
    <w:rsid w:val="00B430CF"/>
    <w:rsid w:val="00B43D5F"/>
    <w:rsid w:val="00B45E1F"/>
    <w:rsid w:val="00B46333"/>
    <w:rsid w:val="00B46EE0"/>
    <w:rsid w:val="00B50342"/>
    <w:rsid w:val="00B51CBB"/>
    <w:rsid w:val="00B52618"/>
    <w:rsid w:val="00B53999"/>
    <w:rsid w:val="00B54909"/>
    <w:rsid w:val="00B54FC5"/>
    <w:rsid w:val="00B55F29"/>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C6EAB"/>
    <w:rsid w:val="00BD0E41"/>
    <w:rsid w:val="00BD3454"/>
    <w:rsid w:val="00BD34FC"/>
    <w:rsid w:val="00BD3B5D"/>
    <w:rsid w:val="00BD42AE"/>
    <w:rsid w:val="00BD54CE"/>
    <w:rsid w:val="00BD57C6"/>
    <w:rsid w:val="00BD64F4"/>
    <w:rsid w:val="00BD757B"/>
    <w:rsid w:val="00BD781C"/>
    <w:rsid w:val="00BE0596"/>
    <w:rsid w:val="00BE0F09"/>
    <w:rsid w:val="00BE1976"/>
    <w:rsid w:val="00BE389F"/>
    <w:rsid w:val="00BE4823"/>
    <w:rsid w:val="00BE50CA"/>
    <w:rsid w:val="00BE5D09"/>
    <w:rsid w:val="00BF0B89"/>
    <w:rsid w:val="00BF2D1A"/>
    <w:rsid w:val="00BF2DFC"/>
    <w:rsid w:val="00BF3356"/>
    <w:rsid w:val="00BF37B2"/>
    <w:rsid w:val="00BF4432"/>
    <w:rsid w:val="00BF4A3E"/>
    <w:rsid w:val="00BF53F1"/>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5F8E"/>
    <w:rsid w:val="00C26029"/>
    <w:rsid w:val="00C26EFD"/>
    <w:rsid w:val="00C40BB8"/>
    <w:rsid w:val="00C45272"/>
    <w:rsid w:val="00C45853"/>
    <w:rsid w:val="00C45E61"/>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6589"/>
    <w:rsid w:val="00CF0B19"/>
    <w:rsid w:val="00CF7A7E"/>
    <w:rsid w:val="00D01117"/>
    <w:rsid w:val="00D02591"/>
    <w:rsid w:val="00D03B88"/>
    <w:rsid w:val="00D04B7C"/>
    <w:rsid w:val="00D04C34"/>
    <w:rsid w:val="00D06E6A"/>
    <w:rsid w:val="00D07FCC"/>
    <w:rsid w:val="00D1416A"/>
    <w:rsid w:val="00D14763"/>
    <w:rsid w:val="00D14AE8"/>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40000"/>
    <w:rsid w:val="00D40F72"/>
    <w:rsid w:val="00D4137B"/>
    <w:rsid w:val="00D4222C"/>
    <w:rsid w:val="00D42EE6"/>
    <w:rsid w:val="00D4453B"/>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4AD"/>
    <w:rsid w:val="00DB452C"/>
    <w:rsid w:val="00DB4BB7"/>
    <w:rsid w:val="00DB4E5A"/>
    <w:rsid w:val="00DB5785"/>
    <w:rsid w:val="00DB58E9"/>
    <w:rsid w:val="00DB5B49"/>
    <w:rsid w:val="00DB6F07"/>
    <w:rsid w:val="00DC13BD"/>
    <w:rsid w:val="00DC255E"/>
    <w:rsid w:val="00DC2FDC"/>
    <w:rsid w:val="00DC333F"/>
    <w:rsid w:val="00DC373A"/>
    <w:rsid w:val="00DC567C"/>
    <w:rsid w:val="00DC58CC"/>
    <w:rsid w:val="00DC720A"/>
    <w:rsid w:val="00DC763A"/>
    <w:rsid w:val="00DD39FD"/>
    <w:rsid w:val="00DD610B"/>
    <w:rsid w:val="00DD6735"/>
    <w:rsid w:val="00DD6990"/>
    <w:rsid w:val="00DD6E27"/>
    <w:rsid w:val="00DD7FA3"/>
    <w:rsid w:val="00DE1248"/>
    <w:rsid w:val="00DE7967"/>
    <w:rsid w:val="00DF2D08"/>
    <w:rsid w:val="00DF5E22"/>
    <w:rsid w:val="00DF708A"/>
    <w:rsid w:val="00E002C6"/>
    <w:rsid w:val="00E00E95"/>
    <w:rsid w:val="00E010A7"/>
    <w:rsid w:val="00E010F0"/>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B0C"/>
    <w:rsid w:val="00E76EF3"/>
    <w:rsid w:val="00E806F4"/>
    <w:rsid w:val="00E8087D"/>
    <w:rsid w:val="00E827D7"/>
    <w:rsid w:val="00E83BDF"/>
    <w:rsid w:val="00E83C63"/>
    <w:rsid w:val="00E84363"/>
    <w:rsid w:val="00E84791"/>
    <w:rsid w:val="00E876EF"/>
    <w:rsid w:val="00E9271E"/>
    <w:rsid w:val="00E9376A"/>
    <w:rsid w:val="00E948BA"/>
    <w:rsid w:val="00E9595A"/>
    <w:rsid w:val="00E9712C"/>
    <w:rsid w:val="00EA14EF"/>
    <w:rsid w:val="00EA3003"/>
    <w:rsid w:val="00EA3B88"/>
    <w:rsid w:val="00EA3D03"/>
    <w:rsid w:val="00EA543B"/>
    <w:rsid w:val="00EA5E3F"/>
    <w:rsid w:val="00EA648B"/>
    <w:rsid w:val="00EA6CCD"/>
    <w:rsid w:val="00EA7588"/>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D0FDF"/>
    <w:rsid w:val="00ED39C9"/>
    <w:rsid w:val="00ED51A3"/>
    <w:rsid w:val="00ED51C9"/>
    <w:rsid w:val="00ED5304"/>
    <w:rsid w:val="00EE004B"/>
    <w:rsid w:val="00EE1B68"/>
    <w:rsid w:val="00EE4B6A"/>
    <w:rsid w:val="00EE5E78"/>
    <w:rsid w:val="00EE6F09"/>
    <w:rsid w:val="00EE7236"/>
    <w:rsid w:val="00EE7887"/>
    <w:rsid w:val="00EF2F4D"/>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7B"/>
    <w:rsid w:val="00F377D0"/>
    <w:rsid w:val="00F37B52"/>
    <w:rsid w:val="00F4090E"/>
    <w:rsid w:val="00F40D46"/>
    <w:rsid w:val="00F41512"/>
    <w:rsid w:val="00F41818"/>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0A90"/>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5E2B"/>
    <w:rsid w:val="00F968E1"/>
    <w:rsid w:val="00FA0A51"/>
    <w:rsid w:val="00FA2001"/>
    <w:rsid w:val="00FA34EF"/>
    <w:rsid w:val="00FA6833"/>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2DBE"/>
    <w:rsid w:val="00FD651B"/>
    <w:rsid w:val="00FD6583"/>
    <w:rsid w:val="00FD7A84"/>
    <w:rsid w:val="00FE071D"/>
    <w:rsid w:val="00FE0871"/>
    <w:rsid w:val="00FE0A3A"/>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1842</Words>
  <Characters>10500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Ornasteel</dc:creator>
  <cp:lastModifiedBy>Agnes Low </cp:lastModifiedBy>
  <cp:revision>2</cp:revision>
  <cp:lastPrinted>2012-04-20T08:57:00Z</cp:lastPrinted>
  <dcterms:created xsi:type="dcterms:W3CDTF">2014-02-21T01:51:00Z</dcterms:created>
  <dcterms:modified xsi:type="dcterms:W3CDTF">2014-02-21T01:51:00Z</dcterms:modified>
</cp:coreProperties>
</file>